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E6AB8">
      <w:pPr>
        <w:spacing w:line="360" w:lineRule="auto"/>
        <w:jc w:val="center"/>
        <w:rPr>
          <w:rFonts w:hint="eastAsia" w:ascii="宋体" w:hAnsi="宋体" w:eastAsia="宋体"/>
          <w:sz w:val="24"/>
          <w:lang w:eastAsia="zh-CN"/>
        </w:rPr>
        <w:sectPr>
          <w:footerReference r:id="rId3" w:type="default"/>
          <w:pgSz w:w="11906" w:h="16838"/>
          <w:pgMar w:top="1440" w:right="1083" w:bottom="1440" w:left="1083" w:header="0" w:footer="720" w:gutter="0"/>
          <w:cols w:space="425" w:num="1"/>
          <w:docGrid w:type="lines" w:linePitch="312" w:charSpace="0"/>
        </w:sectPr>
      </w:pPr>
      <w:bookmarkStart w:id="1" w:name="_GoBack"/>
      <w:bookmarkEnd w:id="1"/>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-682625</wp:posOffset>
            </wp:positionH>
            <wp:positionV relativeFrom="paragraph">
              <wp:posOffset>-882015</wp:posOffset>
            </wp:positionV>
            <wp:extent cx="7576185" cy="10741660"/>
            <wp:effectExtent l="0" t="0" r="5715" b="2540"/>
            <wp:wrapNone/>
            <wp:docPr id="3" name="图片 3" descr="_cgi-bin_mmwebwx-bin_webwxgetmsgimg__&amp;MsgID=862743158302598250&amp;skey=@crypt_1d337d64_a49e6b2d1360111ddb33732efbe42871&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cgi-bin_mmwebwx-bin_webwxgetmsgimg__&amp;MsgID=862743158302598250&amp;skey=@crypt_1d337d64_a49e6b2d1360111ddb33732efbe42871&amp;mmweb_appid=wx_webfilehelper"/>
                    <pic:cNvPicPr>
                      <a:picLocks noChangeAspect="1"/>
                    </pic:cNvPicPr>
                  </pic:nvPicPr>
                  <pic:blipFill>
                    <a:blip r:embed="rId7"/>
                    <a:stretch>
                      <a:fillRect/>
                    </a:stretch>
                  </pic:blipFill>
                  <pic:spPr>
                    <a:xfrm>
                      <a:off x="0" y="0"/>
                      <a:ext cx="7576185" cy="10741660"/>
                    </a:xfrm>
                    <a:prstGeom prst="rect">
                      <a:avLst/>
                    </a:prstGeom>
                  </pic:spPr>
                </pic:pic>
              </a:graphicData>
            </a:graphic>
          </wp:anchor>
        </w:drawing>
      </w:r>
    </w:p>
    <w:p w14:paraId="2A8F7D32">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6AEBD1BE">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2B3431E0">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第一部分 单位概况</w:t>
      </w:r>
    </w:p>
    <w:p w14:paraId="06077369">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一、主要职能、职责</w:t>
      </w:r>
    </w:p>
    <w:p w14:paraId="7402F617">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二、单位机构设置及决算单位构成情况</w:t>
      </w:r>
    </w:p>
    <w:p w14:paraId="126EE3C4">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三、2024年度单位主要工作完成情况</w:t>
      </w:r>
    </w:p>
    <w:p w14:paraId="6DBB07D4">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第二部分 单位决算情况说明</w:t>
      </w:r>
    </w:p>
    <w:p w14:paraId="7DA9D90F">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一、收入支出决算总体情况说明</w:t>
      </w:r>
    </w:p>
    <w:p w14:paraId="21B86602">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二、收入决算情况说明</w:t>
      </w:r>
    </w:p>
    <w:p w14:paraId="3BF1C672">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三、支出决算情况说明</w:t>
      </w:r>
    </w:p>
    <w:p w14:paraId="2EF45034">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四、财政拨款收入支出决算总体情况说明</w:t>
      </w:r>
    </w:p>
    <w:p w14:paraId="5FB2FF86">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五、一般公共预算财政拨款支出决算情况说明</w:t>
      </w:r>
    </w:p>
    <w:p w14:paraId="3C4A4A5A">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六、一般公共预算财政拨款基本支出决算情况说明</w:t>
      </w:r>
    </w:p>
    <w:p w14:paraId="38EEEB65">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七、一般公共预算财政拨款项目支出决算情况说明</w:t>
      </w:r>
    </w:p>
    <w:p w14:paraId="47439825">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八、财政拨款“三公”经费支出决算情况说明</w:t>
      </w:r>
    </w:p>
    <w:p w14:paraId="7D411B25">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九、政府性基金预算财政拨款支出决算情况说明</w:t>
      </w:r>
    </w:p>
    <w:p w14:paraId="579E6984">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十、国有资本经营预算财政拨款支出决算情况说明</w:t>
      </w:r>
    </w:p>
    <w:p w14:paraId="354B5611">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十一、机关运行经费（公用经费）支出决算情况说明</w:t>
      </w:r>
    </w:p>
    <w:p w14:paraId="560295AB">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十二、政府采购支出决算情况说明</w:t>
      </w:r>
    </w:p>
    <w:p w14:paraId="750204C2">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十三、国有资产占用情况说明</w:t>
      </w:r>
    </w:p>
    <w:p w14:paraId="065B97EA">
      <w:pPr>
        <w:widowControl/>
        <w:spacing w:before="240" w:after="240"/>
        <w:jc w:val="left"/>
        <w:rPr>
          <w:rFonts w:hint="eastAsia" w:ascii="仿宋_GB2312" w:hAnsi="仿宋_GB2312" w:eastAsia="仿宋_GB2312" w:cs="仿宋_GB2312"/>
          <w:sz w:val="27"/>
          <w:szCs w:val="27"/>
          <w:lang w:val="en-US" w:eastAsia="zh-CN"/>
        </w:rPr>
      </w:pPr>
      <w:r>
        <w:rPr>
          <w:rFonts w:hint="eastAsia" w:ascii="仿宋_GB2312" w:hAnsi="仿宋_GB2312" w:eastAsia="仿宋_GB2312" w:cs="仿宋_GB2312"/>
          <w:sz w:val="27"/>
          <w:szCs w:val="27"/>
          <w:lang w:val="en-US" w:eastAsia="zh-CN"/>
        </w:rPr>
        <w:t>十四、预算绩效情况说明</w:t>
      </w:r>
    </w:p>
    <w:p w14:paraId="5433F966">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第三部分 名词解释</w:t>
      </w:r>
    </w:p>
    <w:p w14:paraId="18F84FE3">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第四部分 决算公开联系方式及信息反馈渠道</w:t>
      </w:r>
    </w:p>
    <w:p w14:paraId="4FC9F899">
      <w:pPr>
        <w:widowControl/>
        <w:spacing w:before="240" w:after="240"/>
        <w:jc w:val="left"/>
        <w:rPr>
          <w:rFonts w:hint="default" w:ascii="Times New Roman" w:hAnsi="Times New Roman" w:eastAsia="Times New Roman" w:cs="Times New Roman"/>
          <w:kern w:val="0"/>
          <w:sz w:val="24"/>
        </w:rPr>
      </w:pPr>
      <w:r>
        <w:rPr>
          <w:rFonts w:hint="default" w:ascii="Times New Roman" w:hAnsi="Times New Roman" w:eastAsia="黑体" w:cs="Times New Roman"/>
          <w:kern w:val="0"/>
          <w:sz w:val="27"/>
          <w:szCs w:val="27"/>
        </w:rPr>
        <w:t>第五部分 单位决算表</w:t>
      </w:r>
    </w:p>
    <w:p w14:paraId="7A760E62">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一、收入支出决算总表</w:t>
      </w:r>
    </w:p>
    <w:p w14:paraId="3740C1CA">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二、收入决算表</w:t>
      </w:r>
    </w:p>
    <w:p w14:paraId="47756B49">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三、支出决算表</w:t>
      </w:r>
    </w:p>
    <w:p w14:paraId="13F6E01C">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四、财政拨款收入支出决算总表</w:t>
      </w:r>
    </w:p>
    <w:p w14:paraId="1A27BB44">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五、一般公共预算财政拨款支出决算表</w:t>
      </w:r>
    </w:p>
    <w:p w14:paraId="454AB568">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六、一般公共预算财政拨款基本支出决算明细表</w:t>
      </w:r>
    </w:p>
    <w:p w14:paraId="048B6D86">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七、一般公共预算财政拨款项目支出决算明细表</w:t>
      </w:r>
    </w:p>
    <w:p w14:paraId="60996C34">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八、政府性基金预算财政拨款收入支出决算表</w:t>
      </w:r>
    </w:p>
    <w:p w14:paraId="7968BF7E">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九、国有资本经营预算财政拨款收入支出决算表</w:t>
      </w:r>
    </w:p>
    <w:p w14:paraId="6817E0DA">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十、财政拨款“三公”经费支出决算表</w:t>
      </w:r>
    </w:p>
    <w:p w14:paraId="3CEB74DA">
      <w:pPr>
        <w:widowControl/>
        <w:spacing w:before="240" w:after="240"/>
        <w:jc w:val="left"/>
        <w:rPr>
          <w:rFonts w:hint="default" w:ascii="仿宋_GB2312" w:hAnsi="仿宋_GB2312" w:eastAsia="仿宋_GB2312" w:cs="仿宋_GB2312"/>
          <w:sz w:val="27"/>
          <w:szCs w:val="27"/>
          <w:lang w:val="en-US" w:eastAsia="zh-CN"/>
        </w:rPr>
      </w:pPr>
      <w:r>
        <w:rPr>
          <w:rFonts w:hint="default" w:ascii="仿宋_GB2312" w:hAnsi="仿宋_GB2312" w:eastAsia="仿宋_GB2312" w:cs="仿宋_GB2312"/>
          <w:sz w:val="27"/>
          <w:szCs w:val="27"/>
          <w:lang w:val="en-US" w:eastAsia="zh-CN"/>
        </w:rPr>
        <w:t>十一、机关运行经费支出、国有资产占用情况及政府采购支出信息表</w:t>
      </w:r>
    </w:p>
    <w:p w14:paraId="2209A56F">
      <w:pPr>
        <w:rPr>
          <w:rFonts w:hint="default" w:ascii="Times New Roman" w:hAnsi="Times New Roman" w:eastAsia="Times New Roman" w:cs="Times New Roman"/>
          <w:kern w:val="0"/>
          <w:sz w:val="24"/>
        </w:rPr>
      </w:pPr>
      <w:r>
        <w:rPr>
          <w:rFonts w:hint="default" w:ascii="Times New Roman" w:hAnsi="Times New Roman" w:eastAsia="Times New Roman" w:cs="Times New Roman"/>
          <w:kern w:val="0"/>
          <w:sz w:val="24"/>
        </w:rPr>
        <w:br w:type="page"/>
      </w:r>
    </w:p>
    <w:p w14:paraId="3F3D4F50">
      <w:pPr>
        <w:widowControl/>
        <w:spacing w:before="240" w:after="240"/>
        <w:rPr>
          <w:rFonts w:ascii="Times New Roman" w:hAnsi="Times New Roman" w:eastAsia="Times New Roman" w:cs="Times New Roman"/>
          <w:kern w:val="0"/>
          <w:sz w:val="24"/>
        </w:rPr>
      </w:pPr>
    </w:p>
    <w:p w14:paraId="27351DA1">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66689D0E">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一、主要职能、职责</w:t>
      </w:r>
    </w:p>
    <w:p w14:paraId="6FAAF71D">
      <w:pPr>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0"/>
          <w:szCs w:val="30"/>
        </w:rPr>
      </w:pPr>
      <w:r>
        <w:rPr>
          <w:rFonts w:ascii="仿宋_GB2312" w:hAnsi="仿宋_GB2312" w:eastAsia="仿宋_GB2312" w:cs="仿宋_GB2312"/>
          <w:color w:val="0E00FE"/>
          <w:kern w:val="0"/>
          <w:sz w:val="30"/>
          <w:szCs w:val="30"/>
        </w:rPr>
        <w:t> </w:t>
      </w:r>
      <w:r>
        <w:rPr>
          <w:rFonts w:ascii="仿宋_GB2312" w:hAnsi="仿宋_GB2312" w:eastAsia="仿宋_GB2312" w:cs="仿宋_GB2312"/>
          <w:color w:val="auto"/>
          <w:kern w:val="0"/>
          <w:sz w:val="30"/>
          <w:szCs w:val="30"/>
        </w:rPr>
        <w:t xml:space="preserve">   </w:t>
      </w:r>
      <w:r>
        <w:rPr>
          <w:rFonts w:hint="eastAsia" w:ascii="仿宋_GB2312" w:hAnsi="仿宋_GB2312" w:eastAsia="仿宋_GB2312" w:cs="仿宋_GB2312"/>
          <w:color w:val="auto"/>
          <w:kern w:val="0"/>
          <w:sz w:val="30"/>
          <w:szCs w:val="30"/>
        </w:rPr>
        <w:t>内蒙</w:t>
      </w:r>
      <w:r>
        <w:rPr>
          <w:rFonts w:hint="eastAsia" w:ascii="仿宋_GB2312" w:hAnsi="仿宋_GB2312" w:eastAsia="仿宋_GB2312" w:cs="仿宋_GB2312"/>
          <w:sz w:val="30"/>
          <w:szCs w:val="30"/>
          <w:lang w:val="en-US" w:eastAsia="zh-CN"/>
        </w:rPr>
        <w:t>古自治区根河市自然资源局是根河市人民政府主管的工作部门。主要职能、职责为：</w:t>
      </w:r>
    </w:p>
    <w:p w14:paraId="63961391">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rPr>
      </w:pPr>
      <w:r>
        <w:rPr>
          <w:rFonts w:hint="default" w:ascii="Times New Roman" w:hAnsi="Times New Roman" w:eastAsia="仿宋_GB2312" w:cs="Times New Roman"/>
          <w:color w:val="auto"/>
          <w:kern w:val="0"/>
          <w:sz w:val="30"/>
          <w:szCs w:val="30"/>
          <w:lang w:val="en-US" w:eastAsia="zh-CN"/>
        </w:rPr>
        <w:t>1.</w:t>
      </w:r>
      <w:r>
        <w:rPr>
          <w:rFonts w:hint="eastAsia" w:ascii="Times New Roman" w:hAnsi="Times New Roman" w:eastAsia="仿宋_GB2312" w:cs="Times New Roman"/>
          <w:color w:val="auto"/>
          <w:kern w:val="0"/>
          <w:sz w:val="30"/>
          <w:szCs w:val="30"/>
          <w:lang w:val="en-US" w:eastAsia="zh-CN"/>
        </w:rPr>
        <w:t xml:space="preserve"> </w:t>
      </w:r>
      <w:r>
        <w:rPr>
          <w:rFonts w:hint="eastAsia" w:ascii="仿宋_GB2312" w:hAnsi="仿宋_GB2312" w:eastAsia="仿宋_GB2312" w:cs="仿宋_GB2312"/>
          <w:color w:val="auto"/>
          <w:kern w:val="0"/>
          <w:sz w:val="30"/>
          <w:szCs w:val="30"/>
        </w:rPr>
        <w:t>贯彻执行国家、自治区、呼伦贝尔关于自然资源工作的法律法规及有关政策。履行全民所有土地、矿产、森林、草原、湿地、水等自然资源资产所有者职责和所有国土空间用途管制职责，拟订相关管理办法并贯彻实施。</w:t>
      </w:r>
    </w:p>
    <w:p w14:paraId="31640A04">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rPr>
      </w:pPr>
      <w:r>
        <w:rPr>
          <w:rFonts w:hint="eastAsia" w:ascii="Times New Roman" w:hAnsi="Times New Roman" w:eastAsia="仿宋_GB2312" w:cs="Times New Roman"/>
          <w:color w:val="auto"/>
          <w:kern w:val="0"/>
          <w:sz w:val="30"/>
          <w:szCs w:val="30"/>
          <w:lang w:val="en-US" w:eastAsia="zh-CN"/>
        </w:rPr>
        <w:t xml:space="preserve">2. </w:t>
      </w:r>
      <w:r>
        <w:rPr>
          <w:rFonts w:hint="eastAsia" w:ascii="仿宋_GB2312" w:hAnsi="仿宋_GB2312" w:eastAsia="仿宋_GB2312" w:cs="仿宋_GB2312"/>
          <w:color w:val="auto"/>
          <w:kern w:val="0"/>
          <w:sz w:val="30"/>
          <w:szCs w:val="30"/>
        </w:rPr>
        <w:t>负责自然资源调查监测评价。按照国家制定的自然资源调查监测评价的指标体系和统计标准，建立统一规范的自然资源调查监测评价制度。组织实施自然资源基础调查、专项调查和监测。负责自然资源调查监测评价成果的监督管理和信息发布。</w:t>
      </w:r>
    </w:p>
    <w:p w14:paraId="4BA5BA0D">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rPr>
      </w:pPr>
      <w:r>
        <w:rPr>
          <w:rFonts w:hint="eastAsia" w:ascii="Times New Roman" w:hAnsi="Times New Roman" w:eastAsia="仿宋_GB2312" w:cs="Times New Roman"/>
          <w:color w:val="auto"/>
          <w:kern w:val="0"/>
          <w:sz w:val="30"/>
          <w:szCs w:val="30"/>
          <w:lang w:val="en-US" w:eastAsia="zh-CN"/>
        </w:rPr>
        <w:t xml:space="preserve">3. </w:t>
      </w:r>
      <w:r>
        <w:rPr>
          <w:rFonts w:hint="eastAsia" w:ascii="仿宋_GB2312" w:hAnsi="仿宋_GB2312" w:eastAsia="仿宋_GB2312" w:cs="仿宋_GB2312"/>
          <w:color w:val="auto"/>
          <w:kern w:val="0"/>
          <w:sz w:val="30"/>
          <w:szCs w:val="30"/>
        </w:rPr>
        <w:t>负责自然资源统一确权登记工作。组织落实国家、自治区制定的各类自然资源和不动产统一确权登记、权籍调查、不动产测绘、争议调处、成果应用的制度、标准、规范。负责全市自然资源和不动产确权登记工作及相关资料收集、整理、共享、汇交管理等。</w:t>
      </w:r>
    </w:p>
    <w:p w14:paraId="3B27EC2B">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hAnsi="仿宋_GB2312" w:eastAsia="仿宋_GB2312" w:cs="仿宋_GB2312"/>
          <w:color w:val="auto"/>
          <w:kern w:val="0"/>
          <w:sz w:val="30"/>
          <w:szCs w:val="30"/>
        </w:rPr>
      </w:pPr>
      <w:r>
        <w:rPr>
          <w:rFonts w:hint="eastAsia" w:ascii="Times New Roman" w:hAnsi="Times New Roman" w:eastAsia="仿宋_GB2312" w:cs="Times New Roman"/>
          <w:color w:val="auto"/>
          <w:kern w:val="0"/>
          <w:sz w:val="30"/>
          <w:szCs w:val="30"/>
          <w:lang w:val="en-US" w:eastAsia="zh-CN"/>
        </w:rPr>
        <w:t xml:space="preserve">4. </w:t>
      </w:r>
      <w:r>
        <w:rPr>
          <w:rFonts w:hint="eastAsia" w:ascii="仿宋_GB2312" w:hAnsi="仿宋_GB2312" w:eastAsia="仿宋_GB2312" w:cs="仿宋_GB2312"/>
          <w:color w:val="auto"/>
          <w:kern w:val="0"/>
          <w:sz w:val="30"/>
          <w:szCs w:val="30"/>
        </w:rPr>
        <w:t>负责自然资源资产有偿使用工作。负责全市全民所有自然资源资产核算。编制全民所有自然资源资产负债表。组织实施全民所有自然资源资产划拨、出让、租赁、作价出资和土地储备政策，合理配置全民所有自然资源资产。负责自然资源资产价值评估管理，按权限依法收缴相关资产收益。</w:t>
      </w:r>
    </w:p>
    <w:p w14:paraId="6CCCA93F">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二、部门（单位）机构设置及决算单位构成情况</w:t>
      </w:r>
    </w:p>
    <w:p w14:paraId="4854B966">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1</w:t>
      </w:r>
      <w:r>
        <w:rPr>
          <w:rFonts w:hint="default" w:ascii="Times New Roman" w:hAnsi="Times New Roman" w:eastAsia="仿宋_GB2312" w:cs="Times New Roman"/>
          <w:color w:val="auto"/>
          <w:kern w:val="0"/>
          <w:sz w:val="30"/>
          <w:szCs w:val="30"/>
          <w:lang w:val="en-US" w:eastAsia="zh-CN"/>
        </w:rPr>
        <w:t>.</w:t>
      </w:r>
      <w:r>
        <w:rPr>
          <w:rFonts w:hint="eastAsia" w:ascii="Times New Roman" w:hAnsi="Times New Roman" w:eastAsia="仿宋_GB2312" w:cs="Times New Roman"/>
          <w:color w:val="auto"/>
          <w:kern w:val="0"/>
          <w:sz w:val="30"/>
          <w:szCs w:val="30"/>
          <w:lang w:val="en-US" w:eastAsia="zh-CN"/>
        </w:rPr>
        <w:t xml:space="preserve"> </w:t>
      </w:r>
      <w:r>
        <w:rPr>
          <w:rFonts w:hint="default" w:ascii="Times New Roman" w:hAnsi="Times New Roman" w:eastAsia="仿宋_GB2312" w:cs="Times New Roman"/>
          <w:color w:val="auto"/>
          <w:kern w:val="0"/>
          <w:sz w:val="30"/>
          <w:szCs w:val="30"/>
        </w:rPr>
        <w:t>根据单位职责分工，本单位内设机构包括综合办公室、自然资源执法监察办公室、自然资源调查监测确权登记办公室、自然资源开发利用和所有者权益办公室、国土空间规划和用途管制办公室、城乡规划管理办公室、矿产资源保护及生态修复办公室、矿产资源开发管理办公室、耕地保护监督办公室。本单位无下属单位。</w:t>
      </w:r>
    </w:p>
    <w:p w14:paraId="3F18FFAC">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2</w:t>
      </w:r>
      <w:r>
        <w:rPr>
          <w:rFonts w:hint="default" w:ascii="Times New Roman" w:hAnsi="Times New Roman" w:eastAsia="仿宋_GB2312" w:cs="Times New Roman"/>
          <w:color w:val="auto"/>
          <w:kern w:val="0"/>
          <w:sz w:val="30"/>
          <w:szCs w:val="30"/>
          <w:lang w:val="en-US" w:eastAsia="zh-CN"/>
        </w:rPr>
        <w:t>.</w:t>
      </w:r>
      <w:r>
        <w:rPr>
          <w:rFonts w:hint="eastAsia" w:ascii="Times New Roman" w:hAnsi="Times New Roman" w:eastAsia="仿宋_GB2312" w:cs="Times New Roman"/>
          <w:color w:val="auto"/>
          <w:kern w:val="0"/>
          <w:sz w:val="30"/>
          <w:szCs w:val="30"/>
          <w:lang w:val="en-US" w:eastAsia="zh-CN"/>
        </w:rPr>
        <w:t xml:space="preserve"> </w:t>
      </w:r>
      <w:r>
        <w:rPr>
          <w:rFonts w:hint="default" w:ascii="Times New Roman" w:hAnsi="Times New Roman" w:eastAsia="仿宋_GB2312" w:cs="Times New Roman"/>
          <w:color w:val="auto"/>
          <w:kern w:val="0"/>
          <w:sz w:val="30"/>
          <w:szCs w:val="30"/>
        </w:rPr>
        <w:t>从预算单位构成看，纳入本单位2024年部门汇总预算编制范围的预算单位共计1家，具体包括：根河市自然资源局部门本级。详细情况见表：</w:t>
      </w:r>
    </w:p>
    <w:tbl>
      <w:tblPr>
        <w:tblStyle w:val="23"/>
        <w:tblpPr w:leftFromText="180" w:rightFromText="180" w:vertAnchor="text" w:horzAnchor="page" w:tblpX="966" w:tblpY="77"/>
        <w:tblOverlap w:val="never"/>
        <w:tblW w:w="10039" w:type="dxa"/>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171"/>
        <w:gridCol w:w="5793"/>
        <w:gridCol w:w="3075"/>
      </w:tblGrid>
      <w:tr w14:paraId="34EC26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717" w:hRule="atLeast"/>
          <w:tblHeader/>
          <w:tblCellSpacing w:w="15" w:type="dxa"/>
        </w:trPr>
        <w:tc>
          <w:tcPr>
            <w:tcW w:w="11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840BB1B">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576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1281E76">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03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A8A648E">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7E47093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19" w:hRule="atLeast"/>
          <w:tblCellSpacing w:w="15" w:type="dxa"/>
        </w:trPr>
        <w:tc>
          <w:tcPr>
            <w:tcW w:w="11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6F95414">
            <w:pPr>
              <w:widowControl/>
              <w:jc w:val="center"/>
              <w:rPr>
                <w:rFonts w:ascii="仿宋_GB2312" w:hAnsi="仿宋_GB2312" w:eastAsia="仿宋_GB2312" w:cs="仿宋_GB2312"/>
                <w:b w:val="0"/>
                <w:bCs w:val="0"/>
                <w:i w:val="0"/>
                <w:iCs w:val="0"/>
                <w:smallCaps w:val="0"/>
                <w:color w:val="000000"/>
                <w:kern w:val="0"/>
                <w:sz w:val="24"/>
              </w:rPr>
            </w:pPr>
            <w:r>
              <w:rPr>
                <w:rFonts w:hint="default" w:ascii="Times New Roman" w:hAnsi="Times New Roman" w:eastAsia="仿宋_GB2312" w:cs="Times New Roman"/>
                <w:b w:val="0"/>
                <w:bCs w:val="0"/>
                <w:i w:val="0"/>
                <w:iCs w:val="0"/>
                <w:smallCaps w:val="0"/>
                <w:color w:val="000000"/>
                <w:kern w:val="0"/>
                <w:sz w:val="24"/>
              </w:rPr>
              <w:t>1</w:t>
            </w:r>
          </w:p>
        </w:tc>
        <w:tc>
          <w:tcPr>
            <w:tcW w:w="576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A299DFB">
            <w:pPr>
              <w:widowControl/>
              <w:jc w:val="center"/>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根河市自然资源局</w:t>
            </w:r>
          </w:p>
        </w:tc>
        <w:tc>
          <w:tcPr>
            <w:tcW w:w="303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E55545B">
            <w:pPr>
              <w:widowControl/>
              <w:jc w:val="center"/>
              <w:rPr>
                <w:rFonts w:hint="eastAsia"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财政拨款的行政单位</w:t>
            </w:r>
          </w:p>
        </w:tc>
      </w:tr>
    </w:tbl>
    <w:p w14:paraId="21EF3FD3">
      <w:pPr>
        <w:widowControl/>
        <w:spacing w:before="240" w:after="240"/>
        <w:rPr>
          <w:rFonts w:ascii="仿宋_GB2312" w:hAnsi="仿宋_GB2312" w:eastAsia="仿宋_GB2312" w:cs="仿宋_GB2312"/>
          <w:kern w:val="0"/>
          <w:sz w:val="27"/>
          <w:szCs w:val="27"/>
        </w:rPr>
      </w:pPr>
    </w:p>
    <w:p w14:paraId="4C6A38F2">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三、2024年度部门（单位）主要工作完成情况</w:t>
      </w:r>
    </w:p>
    <w:p w14:paraId="0C278056">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1、空间规划编制情况</w:t>
      </w:r>
    </w:p>
    <w:p w14:paraId="7DB3D12A">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根河市国土空间总体规划（2021-2035年）已批复实施，标志着我市在国土空间规划体系建立过程中迈出了坚实的一步；根河市乡镇国土空间规划成果已完成并通过呼伦贝尔市自然资源局最终审查，现已上报呼伦贝尔市人民政府待批复；持续加强对各类规划和重大工程项目贯彻铸牢中华民族共同体意识主线的审核把关，组织编制了新一轮根河市中心城区控制性详细规划，中心城区加乡镇共划分33个控规单元，初步成果已上报呼伦贝尔市自然资源局审核。</w:t>
      </w:r>
    </w:p>
    <w:p w14:paraId="17932052">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2、执法情况</w:t>
      </w:r>
    </w:p>
    <w:p w14:paraId="7355B69E">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严格执法监督，严守三区三线。持续开展卫片执法工作。截止目前，共下发土地卫片执法图斑16个（内蒙古自治区卫片执法图斑8个、2024年北京例行督察问题图斑2个，土地卫片执法持续监管模块6个），现已完成2024年北京例行督察问题图斑和内蒙古自治区卫片执法图斑的举证审核上报工作，土地卫片执法持续监管图斑已完成4个，剩余2个图斑现举证上报中。</w:t>
      </w:r>
    </w:p>
    <w:p w14:paraId="0AACA0ED">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3、矿产资源管理方面</w:t>
      </w:r>
    </w:p>
    <w:p w14:paraId="65BF275C">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color w:val="auto"/>
          <w:kern w:val="0"/>
          <w:sz w:val="30"/>
          <w:szCs w:val="30"/>
        </w:rPr>
      </w:pPr>
      <w:r>
        <w:rPr>
          <w:rFonts w:hint="default" w:ascii="Times New Roman" w:hAnsi="Times New Roman" w:eastAsia="仿宋_GB2312" w:cs="Times New Roman"/>
          <w:color w:val="auto"/>
          <w:kern w:val="0"/>
          <w:sz w:val="30"/>
          <w:szCs w:val="30"/>
        </w:rPr>
        <w:t>突出生态建设，绿水青山促发展。积极落实安全生产治本攻坚三年行动，对矿山企业生产复工、安全生产等工作进行检查；开展汛期地质灾害隐患点排查工作，落实汛期24小时值班制度；加强矿山储量动态管理，督促企业编制储量年报并填报储量数据库；开展了2024年度我市在期的三家铅锌矿山井下开采工程实地测绘工作；</w:t>
      </w:r>
    </w:p>
    <w:p w14:paraId="384C10CB">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4、国土调查情况</w:t>
      </w:r>
    </w:p>
    <w:p w14:paraId="30DC6B96">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color w:val="auto"/>
          <w:kern w:val="0"/>
          <w:sz w:val="30"/>
          <w:szCs w:val="30"/>
        </w:rPr>
      </w:pPr>
      <w:r>
        <w:rPr>
          <w:rFonts w:hint="eastAsia" w:ascii="Times New Roman" w:hAnsi="Times New Roman" w:eastAsia="仿宋_GB2312" w:cs="Times New Roman"/>
          <w:color w:val="auto"/>
          <w:kern w:val="0"/>
          <w:sz w:val="30"/>
          <w:szCs w:val="30"/>
        </w:rPr>
        <w:t xml:space="preserve">完成了2023年度国土日常及年度变更调查工作，成果获得了“优秀”评价；按要求开展2024年国土日常变更调查、年度国土变更调查及自提图斑的核查举证工作，共计上交图斑882个（国家下发图斑690个、自提图斑192个）。  </w:t>
      </w:r>
    </w:p>
    <w:p w14:paraId="5067AF4F">
      <w:pPr>
        <w:keepNext w:val="0"/>
        <w:keepLines w:val="0"/>
        <w:pageBreakBefore w:val="0"/>
        <w:kinsoku/>
        <w:wordWrap/>
        <w:overflowPunct/>
        <w:topLinePunct w:val="0"/>
        <w:autoSpaceDE/>
        <w:autoSpaceDN/>
        <w:bidi w:val="0"/>
        <w:adjustRightInd/>
        <w:snapToGrid/>
        <w:textAlignment w:val="auto"/>
        <w:rPr>
          <w:rFonts w:ascii="Times New Roman" w:hAnsi="Times New Roman" w:eastAsia="Times New Roman" w:cs="Times New Roman"/>
          <w:kern w:val="0"/>
          <w:sz w:val="30"/>
          <w:szCs w:val="30"/>
        </w:rPr>
      </w:pPr>
      <w:r>
        <w:rPr>
          <w:rFonts w:hint="eastAsia" w:ascii="Times New Roman" w:hAnsi="Times New Roman" w:eastAsia="仿宋_GB2312" w:cs="Times New Roman"/>
          <w:color w:val="auto"/>
          <w:kern w:val="0"/>
          <w:sz w:val="30"/>
          <w:szCs w:val="30"/>
        </w:rPr>
        <w:br w:type="page"/>
      </w:r>
    </w:p>
    <w:p w14:paraId="3E16B44A">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4252C84A">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一、收入支出决算总体情况说明</w:t>
      </w:r>
    </w:p>
    <w:p w14:paraId="5F003DF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0"/>
          <w:sz w:val="30"/>
          <w:szCs w:val="30"/>
          <w:lang w:eastAsia="zh-CN"/>
        </w:rPr>
      </w:pPr>
      <w:r>
        <w:rPr>
          <w:rFonts w:hint="default" w:ascii="Times New Roman" w:hAnsi="Times New Roman" w:eastAsia="仿宋_GB2312" w:cs="Times New Roman"/>
          <w:kern w:val="0"/>
          <w:sz w:val="27"/>
          <w:szCs w:val="27"/>
          <w:u w:val="none" w:color="auto"/>
        </w:rPr>
        <w:t xml:space="preserve">  </w:t>
      </w:r>
      <w:r>
        <w:rPr>
          <w:rFonts w:hint="default" w:ascii="Times New Roman" w:hAnsi="Times New Roman" w:eastAsia="仿宋_GB2312" w:cs="Times New Roman"/>
          <w:color w:val="auto"/>
          <w:kern w:val="0"/>
          <w:sz w:val="27"/>
          <w:szCs w:val="27"/>
        </w:rPr>
        <w:t> </w:t>
      </w:r>
      <w:r>
        <w:rPr>
          <w:rFonts w:hint="default" w:ascii="Times New Roman" w:hAnsi="Times New Roman" w:eastAsia="仿宋_GB2312" w:cs="Times New Roman"/>
          <w:color w:val="auto"/>
          <w:kern w:val="0"/>
          <w:sz w:val="30"/>
          <w:szCs w:val="30"/>
        </w:rPr>
        <w:t> 内蒙古自治区呼伦贝尔市根河市自然资源局2024年度收入、支出决算总计均为 508.26万元。与年初预算相比，收、支总计各增加 233.76万元，增长 85.15%，变动原因：</w:t>
      </w:r>
      <w:r>
        <w:rPr>
          <w:rFonts w:hint="default" w:ascii="Times New Roman" w:hAnsi="Times New Roman" w:eastAsia="仿宋_GB2312" w:cs="Times New Roman"/>
          <w:color w:val="auto"/>
          <w:kern w:val="0"/>
          <w:sz w:val="30"/>
          <w:szCs w:val="30"/>
          <w:lang w:val="en-US" w:eastAsia="zh-CN"/>
        </w:rPr>
        <w:t>增加</w:t>
      </w:r>
      <w:r>
        <w:rPr>
          <w:rFonts w:hint="eastAsia" w:ascii="Times New Roman" w:hAnsi="Times New Roman" w:eastAsia="仿宋_GB2312" w:cs="Times New Roman"/>
          <w:color w:val="auto"/>
          <w:kern w:val="0"/>
          <w:sz w:val="30"/>
          <w:szCs w:val="30"/>
          <w:lang w:val="en-US" w:eastAsia="zh-CN"/>
        </w:rPr>
        <w:t>3名</w:t>
      </w:r>
      <w:r>
        <w:rPr>
          <w:rFonts w:hint="default" w:ascii="Times New Roman" w:hAnsi="Times New Roman" w:eastAsia="仿宋_GB2312" w:cs="Times New Roman"/>
          <w:color w:val="auto"/>
          <w:kern w:val="0"/>
          <w:sz w:val="30"/>
          <w:szCs w:val="30"/>
          <w:lang w:val="en-US" w:eastAsia="zh-CN"/>
        </w:rPr>
        <w:t>新考录人员</w:t>
      </w:r>
      <w:r>
        <w:rPr>
          <w:rFonts w:hint="default" w:ascii="Times New Roman" w:hAnsi="Times New Roman" w:eastAsia="仿宋_GB2312" w:cs="Times New Roman"/>
          <w:color w:val="auto"/>
          <w:kern w:val="0"/>
          <w:sz w:val="30"/>
          <w:szCs w:val="30"/>
        </w:rPr>
        <w:t>；与上年决算相比，收、支总计各减少61.49万元，下降10.79%。其中：原监察大队</w:t>
      </w:r>
      <w:r>
        <w:rPr>
          <w:rFonts w:hint="eastAsia" w:ascii="Times New Roman" w:hAnsi="Times New Roman" w:eastAsia="仿宋_GB2312" w:cs="Times New Roman"/>
          <w:color w:val="auto"/>
          <w:kern w:val="0"/>
          <w:sz w:val="30"/>
          <w:szCs w:val="30"/>
          <w:lang w:eastAsia="zh-CN"/>
        </w:rPr>
        <w:t>在职</w:t>
      </w:r>
      <w:r>
        <w:rPr>
          <w:rFonts w:hint="eastAsia" w:ascii="Times New Roman" w:hAnsi="Times New Roman" w:eastAsia="仿宋_GB2312" w:cs="Times New Roman"/>
          <w:color w:val="auto"/>
          <w:kern w:val="0"/>
          <w:sz w:val="30"/>
          <w:szCs w:val="30"/>
          <w:lang w:val="en-US" w:eastAsia="zh-CN"/>
        </w:rPr>
        <w:t>7人，退休4人</w:t>
      </w:r>
      <w:r>
        <w:rPr>
          <w:rFonts w:hint="default" w:ascii="Times New Roman" w:hAnsi="Times New Roman" w:eastAsia="仿宋_GB2312" w:cs="Times New Roman"/>
          <w:color w:val="auto"/>
          <w:kern w:val="0"/>
          <w:sz w:val="30"/>
          <w:szCs w:val="30"/>
        </w:rPr>
        <w:t>合并至根河市应急局</w:t>
      </w:r>
      <w:r>
        <w:rPr>
          <w:rFonts w:hint="default" w:ascii="Times New Roman" w:hAnsi="Times New Roman" w:eastAsia="仿宋_GB2312" w:cs="Times New Roman"/>
          <w:color w:val="auto"/>
          <w:kern w:val="0"/>
          <w:sz w:val="30"/>
          <w:szCs w:val="30"/>
          <w:lang w:eastAsia="zh-CN"/>
        </w:rPr>
        <w:t>。</w:t>
      </w:r>
    </w:p>
    <w:p w14:paraId="2C6A99E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（一）收入决算总计 508.26万元。包括：</w:t>
      </w:r>
    </w:p>
    <w:p w14:paraId="6E7CD81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本年收入决算合计 498.57万元。与上年决算相比，减少61.49万元，下降10.98%，变动原因：原监察大队在职7人，退休4人合并至根河市应急局。</w:t>
      </w:r>
    </w:p>
    <w:p w14:paraId="4FC808FC">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使用非财政拨款结余（含专用结余）0万元。与上年决算相比，增加万元，增长0%，变动原因：不存在此项内容。</w:t>
      </w:r>
    </w:p>
    <w:p w14:paraId="580190E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3.</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年初结转和结余 9.69万元。与上年决算相比，增加 0万元，增长0%，变动原因：</w:t>
      </w:r>
      <w:r>
        <w:rPr>
          <w:rFonts w:hint="default" w:ascii="Times New Roman" w:hAnsi="Times New Roman" w:eastAsia="仿宋_GB2312" w:cs="Times New Roman"/>
          <w:kern w:val="0"/>
          <w:sz w:val="30"/>
          <w:szCs w:val="30"/>
          <w:u w:val="none" w:color="auto"/>
          <w:lang w:val="en-US" w:eastAsia="zh-CN"/>
        </w:rPr>
        <w:t>无变化</w:t>
      </w:r>
      <w:r>
        <w:rPr>
          <w:rFonts w:hint="default" w:ascii="Times New Roman" w:hAnsi="Times New Roman" w:eastAsia="仿宋_GB2312" w:cs="Times New Roman"/>
          <w:kern w:val="0"/>
          <w:sz w:val="30"/>
          <w:szCs w:val="30"/>
          <w:u w:val="none" w:color="auto"/>
        </w:rPr>
        <w:t>。</w:t>
      </w:r>
    </w:p>
    <w:p w14:paraId="3A049E0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（二）支出决算总计 508.26万元。包括：</w:t>
      </w:r>
    </w:p>
    <w:p w14:paraId="0F98412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本年支出决算合计 498.57万元。与上年决算相比，减少61.49万元，下降 10.98%，变动原因：原监察大队在职7人，退休4人合并至根河市应急局。</w:t>
      </w:r>
    </w:p>
    <w:p w14:paraId="2025835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2.</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结余分配 0万元。结余分配事项：</w:t>
      </w:r>
      <w:r>
        <w:rPr>
          <w:rFonts w:hint="default" w:ascii="Times New Roman" w:hAnsi="Times New Roman" w:eastAsia="仿宋_GB2312" w:cs="Times New Roman"/>
          <w:kern w:val="0"/>
          <w:sz w:val="30"/>
          <w:szCs w:val="30"/>
          <w:u w:val="none" w:color="auto"/>
          <w:lang w:val="en-US" w:eastAsia="zh-CN"/>
        </w:rPr>
        <w:t>无</w:t>
      </w:r>
      <w:r>
        <w:rPr>
          <w:rFonts w:hint="default" w:ascii="Times New Roman" w:hAnsi="Times New Roman" w:eastAsia="仿宋_GB2312" w:cs="Times New Roman"/>
          <w:kern w:val="0"/>
          <w:sz w:val="30"/>
          <w:szCs w:val="30"/>
          <w:u w:val="none" w:color="auto"/>
        </w:rPr>
        <w:t>。与上年决算相比，增加0万元，增长 0%，变动原因：不存在此项内容。</w:t>
      </w:r>
    </w:p>
    <w:p w14:paraId="43FBA447">
      <w:pPr>
        <w:keepNext w:val="0"/>
        <w:keepLines w:val="0"/>
        <w:pageBreakBefore w:val="0"/>
        <w:widowControl/>
        <w:kinsoku/>
        <w:wordWrap/>
        <w:overflowPunct/>
        <w:topLinePunct w:val="0"/>
        <w:autoSpaceDE/>
        <w:autoSpaceDN/>
        <w:bidi w:val="0"/>
        <w:adjustRightInd/>
        <w:snapToGrid/>
        <w:ind w:firstLine="418"/>
        <w:textAlignment w:val="auto"/>
        <w:rPr>
          <w:rFonts w:hint="default"/>
        </w:rPr>
      </w:pPr>
      <w:r>
        <w:rPr>
          <w:rFonts w:hint="default" w:ascii="Times New Roman" w:hAnsi="Times New Roman" w:eastAsia="仿宋_GB2312" w:cs="Times New Roman"/>
          <w:kern w:val="0"/>
          <w:sz w:val="30"/>
          <w:szCs w:val="30"/>
          <w:u w:val="none" w:color="auto"/>
        </w:rPr>
        <w:t>3.</w:t>
      </w:r>
      <w:r>
        <w:rPr>
          <w:rFonts w:hint="default"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年末结转和结余 9.69万元。结转和结余事项：</w:t>
      </w:r>
      <w:r>
        <w:rPr>
          <w:rFonts w:hint="default" w:ascii="Times New Roman" w:hAnsi="Times New Roman" w:eastAsia="仿宋_GB2312" w:cs="Times New Roman"/>
          <w:kern w:val="0"/>
          <w:sz w:val="30"/>
          <w:szCs w:val="30"/>
          <w:u w:val="none" w:color="auto"/>
          <w:lang w:val="en-US" w:eastAsia="zh-CN"/>
        </w:rPr>
        <w:t>无</w:t>
      </w:r>
      <w:r>
        <w:rPr>
          <w:rFonts w:hint="default" w:ascii="Times New Roman" w:hAnsi="Times New Roman" w:eastAsia="仿宋_GB2312" w:cs="Times New Roman"/>
          <w:kern w:val="0"/>
          <w:sz w:val="30"/>
          <w:szCs w:val="30"/>
          <w:u w:val="none" w:color="auto"/>
        </w:rPr>
        <w:t>。与上年决算相比，增加 0万元，增长 0%，变动原因：</w:t>
      </w:r>
      <w:r>
        <w:rPr>
          <w:rFonts w:hint="default" w:ascii="Times New Roman" w:hAnsi="Times New Roman" w:eastAsia="仿宋_GB2312" w:cs="Times New Roman"/>
          <w:kern w:val="0"/>
          <w:sz w:val="30"/>
          <w:szCs w:val="30"/>
          <w:u w:val="none" w:color="auto"/>
          <w:lang w:val="en-US" w:eastAsia="zh-CN"/>
        </w:rPr>
        <w:t>无变化</w:t>
      </w:r>
      <w:r>
        <w:rPr>
          <w:rFonts w:hint="default" w:ascii="Times New Roman" w:hAnsi="Times New Roman" w:eastAsia="仿宋_GB2312" w:cs="Times New Roman"/>
          <w:kern w:val="0"/>
          <w:sz w:val="30"/>
          <w:szCs w:val="30"/>
          <w:u w:val="none" w:color="auto"/>
        </w:rPr>
        <w:t>。</w:t>
      </w:r>
    </w:p>
    <w:p w14:paraId="6C40CE14">
      <w:pPr>
        <w:widowControl/>
        <w:spacing w:before="240" w:after="240"/>
        <w:jc w:val="left"/>
        <w:rPr>
          <w:rFonts w:hint="default" w:ascii="Times New Roman" w:hAnsi="Times New Roman" w:eastAsia="Times New Roman" w:cs="Times New Roman"/>
          <w:kern w:val="0"/>
          <w:sz w:val="32"/>
          <w:szCs w:val="32"/>
        </w:rPr>
      </w:pPr>
      <w:r>
        <w:rPr>
          <w:rFonts w:hint="default" w:ascii="Times New Roman" w:hAnsi="Times New Roman" w:eastAsia="Calibri" w:cs="Times New Roman"/>
          <w:b/>
          <w:bCs/>
          <w:kern w:val="0"/>
          <w:sz w:val="32"/>
          <w:szCs w:val="32"/>
        </w:rPr>
        <w:t> </w:t>
      </w:r>
      <w:r>
        <w:rPr>
          <w:rFonts w:hint="default" w:ascii="Times New Roman" w:hAnsi="Times New Roman" w:eastAsia="黑体" w:cs="Times New Roman"/>
          <w:b/>
          <w:bCs/>
          <w:kern w:val="0"/>
          <w:sz w:val="32"/>
          <w:szCs w:val="32"/>
        </w:rPr>
        <w:t xml:space="preserve"> </w:t>
      </w:r>
      <w:r>
        <w:rPr>
          <w:rFonts w:hint="default" w:ascii="Times New Roman" w:hAnsi="Times New Roman" w:eastAsia="Calibri" w:cs="Times New Roman"/>
          <w:b/>
          <w:bCs/>
          <w:kern w:val="0"/>
          <w:sz w:val="32"/>
          <w:szCs w:val="32"/>
        </w:rPr>
        <w:t> </w:t>
      </w:r>
      <w:r>
        <w:rPr>
          <w:rFonts w:hint="default" w:ascii="Times New Roman" w:hAnsi="Times New Roman" w:eastAsia="黑体" w:cs="Times New Roman"/>
          <w:b/>
          <w:bCs/>
          <w:kern w:val="0"/>
          <w:sz w:val="32"/>
          <w:szCs w:val="32"/>
        </w:rPr>
        <w:t xml:space="preserve"> 二、收入决算情况说明</w:t>
      </w:r>
    </w:p>
    <w:p w14:paraId="70B982E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内蒙古自治区呼伦贝尔市根河市自然资源局 2024年度本年收入决算合计 498.57万元，其中：</w:t>
      </w:r>
    </w:p>
    <w:p w14:paraId="279FF65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本年一般公共预算财政拨款收入 498.57万元，占 100.00%；</w:t>
      </w:r>
    </w:p>
    <w:p w14:paraId="418EF3F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本年政府性基金预算财政拨款收入 0万元，占 0%；</w:t>
      </w:r>
    </w:p>
    <w:p w14:paraId="24E7A78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本年国有资本经营预算财政拨款收入 0万元，占 0%；</w:t>
      </w:r>
    </w:p>
    <w:p w14:paraId="3C255ABD">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本年上级补助收入 0万元，占 0%；</w:t>
      </w:r>
    </w:p>
    <w:p w14:paraId="380FDC3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本年事业收入 0万元，占 0%；</w:t>
      </w:r>
    </w:p>
    <w:p w14:paraId="597D69D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本年经营收入 0万元，占 0%；</w:t>
      </w:r>
    </w:p>
    <w:p w14:paraId="68AF1E6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本年附属单位上缴收入 0万元，占 0%；</w:t>
      </w:r>
    </w:p>
    <w:p w14:paraId="6198FD63">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本年其他收入 0万元，占 0%。</w:t>
      </w:r>
    </w:p>
    <w:p w14:paraId="3034C9A7">
      <w:pPr>
        <w:widowControl/>
        <w:spacing w:before="240" w:after="240"/>
        <w:rPr>
          <w:rFonts w:hint="default" w:ascii="Times New Roman" w:hAnsi="Times New Roman" w:eastAsia="Times New Roman" w:cs="Times New Roman"/>
          <w:kern w:val="0"/>
          <w:sz w:val="24"/>
          <w:u w:val="none" w:color="auto"/>
        </w:rPr>
      </w:pPr>
      <w:r>
        <w:rPr>
          <w:rFonts w:hint="default" w:ascii="Times New Roman" w:hAnsi="Times New Roman" w:eastAsia="仿宋_GB2312" w:cs="Times New Roman"/>
          <w:kern w:val="0"/>
          <w:sz w:val="27"/>
          <w:szCs w:val="27"/>
          <w:u w:val="none" w:color="auto"/>
        </w:rPr>
        <w:drawing>
          <wp:anchor distT="0" distB="0" distL="114300" distR="114300" simplePos="0" relativeHeight="251659264" behindDoc="0" locked="0" layoutInCell="1" allowOverlap="1">
            <wp:simplePos x="0" y="0"/>
            <wp:positionH relativeFrom="column">
              <wp:posOffset>894080</wp:posOffset>
            </wp:positionH>
            <wp:positionV relativeFrom="paragraph">
              <wp:posOffset>98425</wp:posOffset>
            </wp:positionV>
            <wp:extent cx="4457065" cy="2787015"/>
            <wp:effectExtent l="0" t="0" r="635" b="1333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tretch>
                      <a:fillRect/>
                    </a:stretch>
                  </pic:blipFill>
                  <pic:spPr>
                    <a:xfrm>
                      <a:off x="0" y="0"/>
                      <a:ext cx="4457065" cy="2787015"/>
                    </a:xfrm>
                    <a:prstGeom prst="rect">
                      <a:avLst/>
                    </a:prstGeom>
                    <a:noFill/>
                    <a:ln>
                      <a:noFill/>
                    </a:ln>
                  </pic:spPr>
                </pic:pic>
              </a:graphicData>
            </a:graphic>
          </wp:anchor>
        </w:drawing>
      </w:r>
      <w:r>
        <w:rPr>
          <w:rFonts w:hint="default" w:ascii="Times New Roman" w:hAnsi="Times New Roman" w:eastAsia="仿宋_GB2312" w:cs="Times New Roman"/>
          <w:color w:val="0E00FE"/>
          <w:kern w:val="0"/>
          <w:sz w:val="27"/>
          <w:szCs w:val="27"/>
          <w:u w:val="none" w:color="auto"/>
        </w:rPr>
        <w:t xml:space="preserve">  </w:t>
      </w:r>
    </w:p>
    <w:p w14:paraId="494F2B89">
      <w:pPr>
        <w:widowControl/>
        <w:spacing w:before="240" w:after="240"/>
        <w:rPr>
          <w:rFonts w:hint="default" w:ascii="Times New Roman" w:hAnsi="Times New Roman" w:eastAsia="Times New Roman" w:cs="Times New Roman"/>
          <w:kern w:val="0"/>
          <w:sz w:val="24"/>
        </w:rPr>
      </w:pPr>
    </w:p>
    <w:p w14:paraId="3704182D">
      <w:pPr>
        <w:widowControl/>
        <w:spacing w:before="240" w:after="240"/>
        <w:jc w:val="center"/>
        <w:rPr>
          <w:rFonts w:hint="default" w:ascii="Times New Roman" w:hAnsi="Times New Roman" w:eastAsia="Times New Roman" w:cs="Times New Roman"/>
          <w:kern w:val="0"/>
          <w:sz w:val="24"/>
        </w:rPr>
      </w:pPr>
      <w:r>
        <w:rPr>
          <w:rFonts w:hint="default" w:ascii="Times New Roman" w:hAnsi="Times New Roman" w:eastAsia="Times New Roman" w:cs="Times New Roman"/>
          <w:kern w:val="0"/>
          <w:sz w:val="24"/>
        </w:rPr>
        <w:t xml:space="preserve">  </w:t>
      </w:r>
    </w:p>
    <w:p w14:paraId="36C821EB">
      <w:pPr>
        <w:widowControl/>
        <w:spacing w:before="240" w:after="240"/>
        <w:jc w:val="center"/>
        <w:rPr>
          <w:rFonts w:hint="default" w:ascii="Times New Roman" w:hAnsi="Times New Roman" w:eastAsia="仿宋_GB2312" w:cs="Times New Roman"/>
          <w:kern w:val="0"/>
          <w:sz w:val="27"/>
          <w:szCs w:val="27"/>
        </w:rPr>
      </w:pPr>
    </w:p>
    <w:p w14:paraId="66ABFDDD">
      <w:pPr>
        <w:pStyle w:val="11"/>
        <w:rPr>
          <w:rFonts w:hint="default"/>
        </w:rPr>
      </w:pPr>
    </w:p>
    <w:p w14:paraId="622E8F2D">
      <w:pPr>
        <w:widowControl/>
        <w:spacing w:before="240" w:after="240"/>
        <w:jc w:val="both"/>
        <w:rPr>
          <w:rFonts w:hint="default" w:ascii="Times New Roman" w:hAnsi="Times New Roman" w:eastAsia="仿宋_GB2312" w:cs="Times New Roman"/>
          <w:kern w:val="0"/>
          <w:sz w:val="27"/>
          <w:szCs w:val="27"/>
        </w:rPr>
      </w:pPr>
    </w:p>
    <w:p w14:paraId="21FDA344">
      <w:pPr>
        <w:widowControl/>
        <w:spacing w:before="240" w:after="240"/>
        <w:jc w:val="both"/>
        <w:rPr>
          <w:rFonts w:hint="default" w:ascii="Times New Roman" w:hAnsi="Times New Roman" w:eastAsia="仿宋_GB2312" w:cs="Times New Roman"/>
          <w:kern w:val="0"/>
          <w:sz w:val="27"/>
          <w:szCs w:val="27"/>
        </w:rPr>
      </w:pPr>
    </w:p>
    <w:p w14:paraId="12C566D8">
      <w:pPr>
        <w:widowControl/>
        <w:spacing w:before="240" w:after="240"/>
        <w:jc w:val="center"/>
        <w:rPr>
          <w:rFonts w:hint="default" w:ascii="Times New Roman" w:hAnsi="Times New Roman" w:eastAsia="仿宋_GB2312" w:cs="Times New Roman"/>
          <w:kern w:val="0"/>
          <w:sz w:val="27"/>
          <w:szCs w:val="27"/>
        </w:rPr>
      </w:pPr>
    </w:p>
    <w:p w14:paraId="426C4C79">
      <w:pPr>
        <w:widowControl/>
        <w:spacing w:before="240" w:after="240"/>
        <w:jc w:val="center"/>
        <w:rPr>
          <w:rFonts w:hint="default" w:ascii="Times New Roman" w:hAnsi="Times New Roman" w:eastAsia="仿宋_GB2312" w:cs="Times New Roman"/>
          <w:kern w:val="0"/>
          <w:sz w:val="27"/>
          <w:szCs w:val="27"/>
          <w:u w:val="none" w:color="auto"/>
          <w:lang w:val="en-US" w:eastAsia="zh-CN"/>
        </w:rPr>
      </w:pPr>
      <w:r>
        <w:rPr>
          <w:rFonts w:hint="default" w:ascii="Times New Roman" w:hAnsi="Times New Roman" w:eastAsia="仿宋_GB2312" w:cs="Times New Roman"/>
          <w:kern w:val="0"/>
          <w:sz w:val="27"/>
          <w:szCs w:val="27"/>
          <w:u w:val="none" w:color="auto"/>
          <w:lang w:val="en-US" w:eastAsia="zh-CN"/>
        </w:rPr>
        <w:t>图1.</w:t>
      </w:r>
      <w:r>
        <w:rPr>
          <w:rFonts w:hint="eastAsia" w:ascii="Times New Roman" w:hAnsi="Times New Roman" w:eastAsia="仿宋_GB2312" w:cs="Times New Roman"/>
          <w:kern w:val="0"/>
          <w:sz w:val="27"/>
          <w:szCs w:val="27"/>
          <w:u w:val="none" w:color="auto"/>
          <w:lang w:val="en-US" w:eastAsia="zh-CN"/>
        </w:rPr>
        <w:t xml:space="preserve"> </w:t>
      </w:r>
      <w:r>
        <w:rPr>
          <w:rFonts w:hint="default" w:ascii="Times New Roman" w:hAnsi="Times New Roman" w:eastAsia="仿宋_GB2312" w:cs="Times New Roman"/>
          <w:kern w:val="0"/>
          <w:sz w:val="27"/>
          <w:szCs w:val="27"/>
          <w:u w:val="none" w:color="auto"/>
          <w:lang w:val="en-US" w:eastAsia="zh-CN"/>
        </w:rPr>
        <w:t>收入决算图</w:t>
      </w:r>
    </w:p>
    <w:p w14:paraId="3246A46B">
      <w:pPr>
        <w:widowControl/>
        <w:spacing w:before="240" w:after="240"/>
        <w:jc w:val="left"/>
        <w:rPr>
          <w:rFonts w:ascii="Times New Roman" w:hAnsi="Times New Roman" w:eastAsia="Times New Roman" w:cs="Times New Roman"/>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w:t>
      </w: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三、支出决算情况说明</w:t>
      </w:r>
    </w:p>
    <w:p w14:paraId="45EF332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ascii="仿宋_GB2312" w:hAnsi="仿宋_GB2312" w:eastAsia="仿宋_GB2312" w:cs="仿宋_GB2312"/>
          <w:kern w:val="0"/>
          <w:sz w:val="30"/>
          <w:szCs w:val="30"/>
          <w:u w:val="none" w:color="auto"/>
        </w:rPr>
        <w:t> </w:t>
      </w:r>
      <w:r>
        <w:rPr>
          <w:rFonts w:hint="default" w:ascii="Times New Roman" w:hAnsi="Times New Roman" w:eastAsia="仿宋_GB2312" w:cs="Times New Roman"/>
          <w:kern w:val="0"/>
          <w:sz w:val="30"/>
          <w:szCs w:val="30"/>
          <w:u w:val="none" w:color="auto"/>
        </w:rPr>
        <w:t xml:space="preserve">   </w:t>
      </w:r>
      <w:r>
        <w:rPr>
          <w:rFonts w:hint="default" w:ascii="Times New Roman" w:hAnsi="Times New Roman" w:eastAsia="仿宋_GB2312" w:cs="Times New Roman"/>
          <w:kern w:val="0"/>
          <w:sz w:val="30"/>
          <w:szCs w:val="30"/>
          <w:u w:val="none" w:color="auto"/>
          <w:lang w:val="en-US" w:eastAsia="zh-CN"/>
        </w:rPr>
        <w:t>内蒙古自治区呼伦贝尔市根河市自然资源局 2024年度本年支出决算合计 498.57万元，其中：</w:t>
      </w:r>
    </w:p>
    <w:p w14:paraId="682BDA8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    本年基本支出 296.41万元，占 59.45%；</w:t>
      </w:r>
    </w:p>
    <w:p w14:paraId="69E6B5B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    本年项目支出 202.17万元，占 40.55%；</w:t>
      </w:r>
    </w:p>
    <w:p w14:paraId="6D8F077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    本年上缴上级支出 0万元，占 0%；</w:t>
      </w:r>
    </w:p>
    <w:p w14:paraId="798C569C">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    本年经营支出 0万元，占 0%；</w:t>
      </w:r>
    </w:p>
    <w:p w14:paraId="6ABFF45B">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lang w:val="en-US" w:eastAsia="zh-CN"/>
        </w:rPr>
      </w:pPr>
      <w:r>
        <w:rPr>
          <w:rFonts w:hint="default" w:ascii="Times New Roman" w:hAnsi="Times New Roman" w:eastAsia="仿宋_GB2312" w:cs="Times New Roman"/>
          <w:kern w:val="0"/>
          <w:sz w:val="30"/>
          <w:szCs w:val="30"/>
          <w:u w:val="none" w:color="auto"/>
          <w:lang w:val="en-US" w:eastAsia="zh-CN"/>
        </w:rPr>
        <w:t>    本年对附属单位补助支出 0万元，占 0%。</w:t>
      </w:r>
    </w:p>
    <w:p w14:paraId="72800CC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1E57AE38">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60288" behindDoc="0" locked="0" layoutInCell="1" allowOverlap="1">
            <wp:simplePos x="0" y="0"/>
            <wp:positionH relativeFrom="column">
              <wp:posOffset>120015</wp:posOffset>
            </wp:positionH>
            <wp:positionV relativeFrom="paragraph">
              <wp:posOffset>100965</wp:posOffset>
            </wp:positionV>
            <wp:extent cx="6091555" cy="3807460"/>
            <wp:effectExtent l="0" t="0" r="444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6091555" cy="3807460"/>
                    </a:xfrm>
                    <a:prstGeom prst="rect">
                      <a:avLst/>
                    </a:prstGeom>
                    <a:noFill/>
                    <a:ln>
                      <a:noFill/>
                    </a:ln>
                  </pic:spPr>
                </pic:pic>
              </a:graphicData>
            </a:graphic>
          </wp:anchor>
        </w:drawing>
      </w:r>
      <w:r>
        <w:rPr>
          <w:rFonts w:ascii="Times New Roman" w:hAnsi="Times New Roman" w:eastAsia="Times New Roman" w:cs="Times New Roman"/>
          <w:kern w:val="0"/>
          <w:sz w:val="24"/>
        </w:rPr>
        <w:t xml:space="preserve">  </w:t>
      </w:r>
    </w:p>
    <w:p w14:paraId="5E3B9E45">
      <w:pPr>
        <w:widowControl/>
        <w:spacing w:before="240" w:after="240"/>
        <w:jc w:val="center"/>
        <w:rPr>
          <w:rFonts w:ascii="仿宋_GB2312" w:hAnsi="仿宋_GB2312" w:eastAsia="仿宋_GB2312" w:cs="仿宋_GB2312"/>
          <w:kern w:val="0"/>
          <w:sz w:val="27"/>
          <w:szCs w:val="27"/>
        </w:rPr>
      </w:pPr>
    </w:p>
    <w:p w14:paraId="2EC9BFED">
      <w:pPr>
        <w:widowControl/>
        <w:spacing w:before="240" w:after="240"/>
        <w:jc w:val="center"/>
        <w:rPr>
          <w:rFonts w:ascii="仿宋_GB2312" w:hAnsi="仿宋_GB2312" w:eastAsia="仿宋_GB2312" w:cs="仿宋_GB2312"/>
          <w:kern w:val="0"/>
          <w:sz w:val="27"/>
          <w:szCs w:val="27"/>
        </w:rPr>
      </w:pPr>
    </w:p>
    <w:p w14:paraId="3926347C">
      <w:pPr>
        <w:pStyle w:val="2"/>
        <w:rPr>
          <w:rFonts w:ascii="仿宋_GB2312" w:hAnsi="仿宋_GB2312" w:eastAsia="仿宋_GB2312" w:cs="仿宋_GB2312"/>
          <w:kern w:val="0"/>
          <w:sz w:val="27"/>
          <w:szCs w:val="27"/>
        </w:rPr>
      </w:pPr>
    </w:p>
    <w:p w14:paraId="0696FFBC">
      <w:pPr>
        <w:pStyle w:val="3"/>
        <w:rPr>
          <w:rFonts w:ascii="仿宋_GB2312" w:hAnsi="仿宋_GB2312" w:eastAsia="仿宋_GB2312" w:cs="仿宋_GB2312"/>
          <w:kern w:val="0"/>
          <w:sz w:val="27"/>
          <w:szCs w:val="27"/>
        </w:rPr>
      </w:pPr>
    </w:p>
    <w:p w14:paraId="3EBE1B14">
      <w:pPr>
        <w:pStyle w:val="3"/>
        <w:rPr>
          <w:rFonts w:ascii="仿宋_GB2312" w:hAnsi="仿宋_GB2312" w:eastAsia="仿宋_GB2312" w:cs="仿宋_GB2312"/>
          <w:kern w:val="0"/>
          <w:sz w:val="27"/>
          <w:szCs w:val="27"/>
        </w:rPr>
      </w:pPr>
    </w:p>
    <w:p w14:paraId="34058081">
      <w:pPr>
        <w:pStyle w:val="3"/>
        <w:rPr>
          <w:rFonts w:ascii="仿宋_GB2312" w:hAnsi="仿宋_GB2312" w:eastAsia="仿宋_GB2312" w:cs="仿宋_GB2312"/>
          <w:kern w:val="0"/>
          <w:sz w:val="27"/>
          <w:szCs w:val="27"/>
        </w:rPr>
      </w:pPr>
    </w:p>
    <w:p w14:paraId="08470447">
      <w:pPr>
        <w:pStyle w:val="3"/>
        <w:rPr>
          <w:rFonts w:ascii="仿宋_GB2312" w:hAnsi="仿宋_GB2312" w:eastAsia="仿宋_GB2312" w:cs="仿宋_GB2312"/>
          <w:kern w:val="0"/>
          <w:sz w:val="27"/>
          <w:szCs w:val="27"/>
        </w:rPr>
      </w:pPr>
    </w:p>
    <w:p w14:paraId="7148E481">
      <w:pPr>
        <w:pStyle w:val="3"/>
        <w:rPr>
          <w:rFonts w:ascii="仿宋_GB2312" w:hAnsi="仿宋_GB2312" w:eastAsia="仿宋_GB2312" w:cs="仿宋_GB2312"/>
          <w:kern w:val="0"/>
          <w:sz w:val="27"/>
          <w:szCs w:val="27"/>
        </w:rPr>
      </w:pPr>
    </w:p>
    <w:p w14:paraId="45321164">
      <w:pPr>
        <w:pStyle w:val="3"/>
        <w:rPr>
          <w:rFonts w:ascii="仿宋_GB2312" w:hAnsi="仿宋_GB2312" w:eastAsia="仿宋_GB2312" w:cs="仿宋_GB2312"/>
          <w:kern w:val="0"/>
          <w:sz w:val="27"/>
          <w:szCs w:val="27"/>
        </w:rPr>
      </w:pPr>
    </w:p>
    <w:p w14:paraId="16B40A87">
      <w:pPr>
        <w:widowControl/>
        <w:spacing w:before="240" w:after="240"/>
        <w:jc w:val="center"/>
        <w:rPr>
          <w:rFonts w:hint="default" w:ascii="Times New Roman" w:hAnsi="Times New Roman" w:eastAsia="仿宋_GB2312" w:cs="Times New Roman"/>
          <w:kern w:val="0"/>
          <w:sz w:val="27"/>
          <w:szCs w:val="27"/>
          <w:u w:val="none" w:color="auto"/>
          <w:lang w:val="en-US" w:eastAsia="zh-CN"/>
        </w:rPr>
      </w:pPr>
      <w:r>
        <w:rPr>
          <w:rFonts w:hint="default" w:ascii="Times New Roman" w:hAnsi="Times New Roman" w:eastAsia="仿宋_GB2312" w:cs="Times New Roman"/>
          <w:kern w:val="0"/>
          <w:sz w:val="27"/>
          <w:szCs w:val="27"/>
          <w:u w:val="none" w:color="auto"/>
          <w:lang w:val="en-US" w:eastAsia="zh-CN"/>
        </w:rPr>
        <w:t>图2.</w:t>
      </w:r>
      <w:r>
        <w:rPr>
          <w:rFonts w:hint="eastAsia" w:ascii="Times New Roman" w:hAnsi="Times New Roman" w:eastAsia="仿宋_GB2312" w:cs="Times New Roman"/>
          <w:kern w:val="0"/>
          <w:sz w:val="27"/>
          <w:szCs w:val="27"/>
          <w:u w:val="none" w:color="auto"/>
          <w:lang w:val="en-US" w:eastAsia="zh-CN"/>
        </w:rPr>
        <w:t xml:space="preserve"> </w:t>
      </w:r>
      <w:r>
        <w:rPr>
          <w:rFonts w:hint="default" w:ascii="Times New Roman" w:hAnsi="Times New Roman" w:eastAsia="仿宋_GB2312" w:cs="Times New Roman"/>
          <w:kern w:val="0"/>
          <w:sz w:val="27"/>
          <w:szCs w:val="27"/>
          <w:u w:val="none" w:color="auto"/>
          <w:lang w:val="en-US" w:eastAsia="zh-CN"/>
        </w:rPr>
        <w:t>支出决算图</w:t>
      </w:r>
    </w:p>
    <w:p w14:paraId="6BD2EA35">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四、财政拨款收入支出决算总体情况说明</w:t>
      </w:r>
    </w:p>
    <w:p w14:paraId="6C4964F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rPr>
      </w:pPr>
      <w:r>
        <w:rPr>
          <w:rFonts w:hint="default" w:ascii="Times New Roman" w:hAnsi="Times New Roman" w:eastAsia="仿宋_GB2312" w:cs="Times New Roman"/>
          <w:kern w:val="0"/>
          <w:sz w:val="30"/>
          <w:szCs w:val="30"/>
        </w:rPr>
        <w:t xml:space="preserve">  </w:t>
      </w:r>
      <w:r>
        <w:rPr>
          <w:rFonts w:hint="default" w:ascii="Times New Roman" w:hAnsi="Times New Roman" w:eastAsia="仿宋_GB2312" w:cs="Times New Roman"/>
          <w:kern w:val="0"/>
          <w:sz w:val="30"/>
          <w:szCs w:val="30"/>
          <w:u w:val="none" w:color="auto"/>
        </w:rPr>
        <w:t>  内蒙古自治区呼伦贝尔市根河市自然资源局 2024年度财政拨款收入、支出决算总计均为 508.05万元，与年初预算相比，收、支总计各增加 233.54万元，增长 85.08%，变动原因：增加3名新考录人员；与上年决算相比，收、支总计各减少61.49万元，下降10.80%，变动原因：原监察大队在职7人，退休4人合并至根河市应急局。</w:t>
      </w:r>
    </w:p>
    <w:p w14:paraId="540E9B3C">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五、一般公共预算财政拨款支出决算情况说明</w:t>
      </w:r>
    </w:p>
    <w:p w14:paraId="2094E8B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27"/>
          <w:szCs w:val="27"/>
          <w:u w:val="none" w:color="auto"/>
        </w:rPr>
        <w:t>   </w:t>
      </w:r>
      <w:r>
        <w:rPr>
          <w:rFonts w:hint="eastAsia" w:ascii="Times New Roman" w:hAnsi="Times New Roman" w:eastAsia="仿宋_GB2312" w:cs="Times New Roman"/>
          <w:kern w:val="0"/>
          <w:sz w:val="27"/>
          <w:szCs w:val="27"/>
          <w:u w:val="none" w:color="auto"/>
          <w:lang w:val="en-US" w:eastAsia="zh-CN"/>
        </w:rPr>
        <w:t xml:space="preserve"> </w:t>
      </w:r>
      <w:r>
        <w:rPr>
          <w:rFonts w:hint="default" w:ascii="Times New Roman" w:hAnsi="Times New Roman" w:eastAsia="仿宋_GB2312" w:cs="Times New Roman"/>
          <w:kern w:val="0"/>
          <w:sz w:val="30"/>
          <w:szCs w:val="30"/>
          <w:u w:val="none" w:color="auto"/>
        </w:rPr>
        <w:t>内蒙古自治区呼伦贝尔市根河市自然资源局 2024年度一般公共预算财政拨款支出决算 498.57万元。与年初预算 265.03万元相比，完成年初预算的 188.12%。其中：</w:t>
      </w:r>
    </w:p>
    <w:p w14:paraId="28E712FE">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w:t>
      </w:r>
      <w:r>
        <w:rPr>
          <w:rFonts w:hint="eastAsia" w:ascii="Times New Roman" w:hAnsi="Times New Roman" w:eastAsia="仿宋_GB2312" w:cs="Times New Roman"/>
          <w:color w:val="000000"/>
          <w:kern w:val="0"/>
          <w:sz w:val="30"/>
          <w:szCs w:val="30"/>
          <w:u w:val="none" w:color="auto"/>
          <w:lang w:val="en-US" w:eastAsia="zh-CN"/>
        </w:rPr>
        <w:t>一</w:t>
      </w:r>
      <w:r>
        <w:rPr>
          <w:rFonts w:hint="default" w:ascii="Times New Roman" w:hAnsi="Times New Roman" w:eastAsia="仿宋_GB2312" w:cs="Times New Roman"/>
          <w:color w:val="000000"/>
          <w:kern w:val="0"/>
          <w:sz w:val="30"/>
          <w:szCs w:val="30"/>
          <w:u w:val="none" w:color="auto"/>
        </w:rPr>
        <w:t>）社会保障和就业支出（类）</w:t>
      </w:r>
    </w:p>
    <w:p w14:paraId="0ABC7A5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color w:val="000000"/>
          <w:kern w:val="0"/>
          <w:sz w:val="30"/>
          <w:szCs w:val="30"/>
          <w:u w:val="none" w:color="auto"/>
        </w:rPr>
        <w:t>   </w:t>
      </w:r>
      <w:r>
        <w:rPr>
          <w:rFonts w:hint="default" w:ascii="Times New Roman" w:hAnsi="Times New Roman" w:eastAsia="仿宋_GB2312" w:cs="Times New Roman"/>
          <w:kern w:val="0"/>
          <w:sz w:val="30"/>
          <w:szCs w:val="30"/>
          <w:u w:val="none" w:color="auto"/>
        </w:rPr>
        <w:t xml:space="preserve"> 社会保障和就业支出（类）决算数为 40.29万元，与年初预算相比增加5.23万元。其中：</w:t>
      </w:r>
    </w:p>
    <w:p w14:paraId="0410FCB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1．行政事业单位养老支出（款）行政单位离退休（项）。年初预算</w:t>
      </w:r>
      <w:r>
        <w:rPr>
          <w:rFonts w:hint="default" w:ascii="Times New Roman" w:hAnsi="Times New Roman" w:eastAsia="仿宋_GB2312" w:cs="Times New Roman"/>
          <w:kern w:val="0"/>
          <w:sz w:val="30"/>
          <w:szCs w:val="30"/>
          <w:u w:val="none" w:color="auto"/>
          <w:lang w:val="en-US" w:eastAsia="zh-CN"/>
        </w:rPr>
        <w:t>9.41</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8.68</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92.2</w:t>
      </w:r>
      <w:r>
        <w:rPr>
          <w:rFonts w:hint="default" w:ascii="Times New Roman" w:hAnsi="Times New Roman" w:eastAsia="仿宋_GB2312" w:cs="Times New Roman"/>
          <w:kern w:val="0"/>
          <w:sz w:val="30"/>
          <w:szCs w:val="30"/>
          <w:u w:val="none" w:color="auto"/>
        </w:rPr>
        <w:t>%。决算数与年初预算数的差异原因：原监察大队在职7人，退休4人合并至根河市应急局。</w:t>
      </w:r>
    </w:p>
    <w:p w14:paraId="595B013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w:t>
      </w:r>
      <w:r>
        <w:rPr>
          <w:rFonts w:hint="default" w:ascii="Times New Roman" w:hAnsi="Times New Roman" w:eastAsia="仿宋_GB2312" w:cs="Times New Roman"/>
          <w:kern w:val="0"/>
          <w:sz w:val="30"/>
          <w:szCs w:val="30"/>
          <w:u w:val="none" w:color="auto"/>
          <w:lang w:val="en-US" w:eastAsia="zh-CN"/>
        </w:rPr>
        <w:t>2</w:t>
      </w:r>
      <w:r>
        <w:rPr>
          <w:rFonts w:hint="default" w:ascii="Times New Roman" w:hAnsi="Times New Roman" w:eastAsia="仿宋_GB2312" w:cs="Times New Roman"/>
          <w:kern w:val="0"/>
          <w:sz w:val="30"/>
          <w:szCs w:val="30"/>
          <w:u w:val="none" w:color="auto"/>
        </w:rPr>
        <w:t>．行政事业单位养老支出（款）机关事业单位基本养老保险缴费支出（项）。年初预算</w:t>
      </w:r>
      <w:r>
        <w:rPr>
          <w:rFonts w:hint="default" w:ascii="Times New Roman" w:hAnsi="Times New Roman" w:eastAsia="仿宋_GB2312" w:cs="Times New Roman"/>
          <w:kern w:val="0"/>
          <w:sz w:val="30"/>
          <w:szCs w:val="30"/>
          <w:u w:val="none" w:color="auto"/>
          <w:lang w:val="en-US" w:eastAsia="zh-CN"/>
        </w:rPr>
        <w:t>25.65</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21.66</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84.4</w:t>
      </w:r>
      <w:r>
        <w:rPr>
          <w:rFonts w:hint="default" w:ascii="Times New Roman" w:hAnsi="Times New Roman" w:eastAsia="仿宋_GB2312" w:cs="Times New Roman"/>
          <w:kern w:val="0"/>
          <w:sz w:val="30"/>
          <w:szCs w:val="30"/>
          <w:u w:val="none" w:color="auto"/>
        </w:rPr>
        <w:t>%。决算数与年初预算数的差异原因：退休人员增加</w:t>
      </w:r>
      <w:r>
        <w:rPr>
          <w:rFonts w:hint="eastAsia" w:ascii="Times New Roman" w:hAnsi="Times New Roman" w:eastAsia="仿宋_GB2312" w:cs="Times New Roman"/>
          <w:kern w:val="0"/>
          <w:sz w:val="30"/>
          <w:szCs w:val="30"/>
          <w:u w:val="none" w:color="auto"/>
          <w:lang w:eastAsia="zh-CN"/>
        </w:rPr>
        <w:t>，原监察大队在职7人，退休4人合并至根河市应急局</w:t>
      </w:r>
      <w:r>
        <w:rPr>
          <w:rFonts w:hint="default" w:ascii="Times New Roman" w:hAnsi="Times New Roman" w:eastAsia="仿宋_GB2312" w:cs="Times New Roman"/>
          <w:kern w:val="0"/>
          <w:sz w:val="30"/>
          <w:szCs w:val="30"/>
          <w:u w:val="none" w:color="auto"/>
        </w:rPr>
        <w:t>。</w:t>
      </w:r>
    </w:p>
    <w:p w14:paraId="7466AFDB">
      <w:pPr>
        <w:keepNext w:val="0"/>
        <w:keepLines w:val="0"/>
        <w:pageBreakBefore w:val="0"/>
        <w:widowControl/>
        <w:kinsoku/>
        <w:wordWrap/>
        <w:overflowPunct/>
        <w:topLinePunct w:val="0"/>
        <w:autoSpaceDE/>
        <w:autoSpaceDN/>
        <w:bidi w:val="0"/>
        <w:adjustRightInd/>
        <w:snapToGrid/>
        <w:ind w:firstLine="337"/>
        <w:jc w:val="left"/>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lang w:val="en-US" w:eastAsia="zh-CN"/>
        </w:rPr>
        <w:t>3</w:t>
      </w:r>
      <w:r>
        <w:rPr>
          <w:rFonts w:hint="default" w:ascii="Times New Roman" w:hAnsi="Times New Roman" w:eastAsia="times_new_roman" w:cs="Times New Roman"/>
          <w:color w:val="000000"/>
          <w:kern w:val="0"/>
          <w:sz w:val="30"/>
          <w:szCs w:val="30"/>
          <w:u w:val="none" w:color="auto"/>
        </w:rPr>
        <w:t>．</w:t>
      </w:r>
      <w:r>
        <w:rPr>
          <w:rFonts w:hint="default" w:ascii="Times New Roman" w:hAnsi="Times New Roman" w:eastAsia="仿宋_GB2312" w:cs="Times New Roman"/>
          <w:color w:val="000000"/>
          <w:kern w:val="0"/>
          <w:sz w:val="30"/>
          <w:szCs w:val="30"/>
          <w:u w:val="none" w:color="auto"/>
        </w:rPr>
        <w:t>行政事业单位养老支出（款）机关事业单位职业年金缴费支出（项）年初预算0.00万元，支出决算</w:t>
      </w:r>
      <w:r>
        <w:rPr>
          <w:rFonts w:hint="eastAsia" w:eastAsia="仿宋_GB2312" w:cs="Times New Roman"/>
          <w:color w:val="000000"/>
          <w:kern w:val="0"/>
          <w:sz w:val="30"/>
          <w:szCs w:val="30"/>
          <w:u w:val="none" w:color="auto"/>
          <w:lang w:val="en-US" w:eastAsia="zh-CN"/>
        </w:rPr>
        <w:t>7.76</w:t>
      </w:r>
      <w:r>
        <w:rPr>
          <w:rFonts w:hint="default" w:ascii="Times New Roman" w:hAnsi="Times New Roman" w:eastAsia="仿宋_GB2312" w:cs="Times New Roman"/>
          <w:color w:val="000000"/>
          <w:kern w:val="0"/>
          <w:sz w:val="30"/>
          <w:szCs w:val="30"/>
          <w:u w:val="none" w:color="auto"/>
        </w:rPr>
        <w:t>万元</w:t>
      </w:r>
      <w:r>
        <w:rPr>
          <w:rFonts w:hint="eastAsia" w:eastAsia="仿宋_GB2312" w:cs="Times New Roman"/>
          <w:color w:val="000000"/>
          <w:kern w:val="0"/>
          <w:sz w:val="30"/>
          <w:szCs w:val="30"/>
          <w:u w:val="none" w:color="auto"/>
          <w:lang w:eastAsia="zh-CN"/>
        </w:rPr>
        <w:t>，完成年初预算的100%。决算数与年初预算数的差异原因：增加3名新考录人员。</w:t>
      </w:r>
    </w:p>
    <w:p w14:paraId="49922B4D">
      <w:pPr>
        <w:keepNext w:val="0"/>
        <w:keepLines w:val="0"/>
        <w:pageBreakBefore w:val="0"/>
        <w:widowControl/>
        <w:kinsoku/>
        <w:wordWrap/>
        <w:overflowPunct/>
        <w:topLinePunct w:val="0"/>
        <w:autoSpaceDE/>
        <w:autoSpaceDN/>
        <w:bidi w:val="0"/>
        <w:adjustRightInd/>
        <w:snapToGrid/>
        <w:ind w:firstLine="337"/>
        <w:jc w:val="left"/>
        <w:textAlignment w:val="auto"/>
        <w:rPr>
          <w:rFonts w:hint="default"/>
          <w:sz w:val="30"/>
          <w:szCs w:val="30"/>
        </w:rPr>
      </w:pPr>
      <w:r>
        <w:rPr>
          <w:rFonts w:hint="eastAsia" w:ascii="Times New Roman" w:hAnsi="Times New Roman" w:eastAsia="仿宋_GB2312" w:cs="Times New Roman"/>
          <w:color w:val="000000"/>
          <w:kern w:val="0"/>
          <w:sz w:val="30"/>
          <w:szCs w:val="30"/>
          <w:u w:val="none" w:color="auto"/>
          <w:lang w:val="en-US" w:eastAsia="zh-CN"/>
        </w:rPr>
        <w:t xml:space="preserve">4. </w:t>
      </w:r>
      <w:r>
        <w:rPr>
          <w:rFonts w:hint="default" w:ascii="Times New Roman" w:hAnsi="Times New Roman" w:eastAsia="仿宋_GB2312" w:cs="Times New Roman"/>
          <w:color w:val="000000"/>
          <w:kern w:val="0"/>
          <w:sz w:val="30"/>
          <w:szCs w:val="30"/>
          <w:u w:val="none" w:color="auto"/>
          <w:lang w:val="en-US" w:eastAsia="zh-CN"/>
        </w:rPr>
        <w:t>残疾人事业（款）其他残疾人事业支出（项）。年初预算0.00万元，支出决算2.</w:t>
      </w:r>
      <w:r>
        <w:rPr>
          <w:rFonts w:hint="eastAsia" w:ascii="Times New Roman" w:hAnsi="Times New Roman" w:eastAsia="仿宋_GB2312" w:cs="Times New Roman"/>
          <w:color w:val="000000"/>
          <w:kern w:val="0"/>
          <w:sz w:val="30"/>
          <w:szCs w:val="30"/>
          <w:u w:val="none" w:color="auto"/>
          <w:lang w:val="en-US" w:eastAsia="zh-CN"/>
        </w:rPr>
        <w:t>20</w:t>
      </w:r>
      <w:r>
        <w:rPr>
          <w:rFonts w:hint="default" w:ascii="Times New Roman" w:hAnsi="Times New Roman" w:eastAsia="仿宋_GB2312" w:cs="Times New Roman"/>
          <w:color w:val="000000"/>
          <w:kern w:val="0"/>
          <w:sz w:val="30"/>
          <w:szCs w:val="30"/>
          <w:u w:val="none" w:color="auto"/>
          <w:lang w:val="en-US" w:eastAsia="zh-CN"/>
        </w:rPr>
        <w:t>万元，完成年初预算的100%。决算数与年初预算数的差异原因：本年度有残疾人保障金。</w:t>
      </w:r>
    </w:p>
    <w:p w14:paraId="6584FD0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w:t>
      </w:r>
      <w:r>
        <w:rPr>
          <w:rFonts w:hint="eastAsia" w:ascii="Times New Roman" w:hAnsi="Times New Roman" w:eastAsia="仿宋_GB2312" w:cs="Times New Roman"/>
          <w:kern w:val="0"/>
          <w:sz w:val="30"/>
          <w:szCs w:val="30"/>
          <w:u w:val="none" w:color="auto"/>
          <w:lang w:val="en-US" w:eastAsia="zh-CN"/>
        </w:rPr>
        <w:t>二</w:t>
      </w:r>
      <w:r>
        <w:rPr>
          <w:rFonts w:hint="default" w:ascii="Times New Roman" w:hAnsi="Times New Roman" w:eastAsia="仿宋_GB2312" w:cs="Times New Roman"/>
          <w:kern w:val="0"/>
          <w:sz w:val="30"/>
          <w:szCs w:val="30"/>
          <w:u w:val="none" w:color="auto"/>
        </w:rPr>
        <w:t>）卫生健康支出（类）</w:t>
      </w:r>
    </w:p>
    <w:p w14:paraId="21A37B7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卫生健康支出（类）决算数为 10.60万元，与年初预算相比减少3.48万元。其中：</w:t>
      </w:r>
    </w:p>
    <w:p w14:paraId="17625B20">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1．行政事业单位医疗（款）行政</w:t>
      </w:r>
      <w:r>
        <w:rPr>
          <w:rFonts w:hint="default" w:ascii="Times New Roman" w:hAnsi="Times New Roman" w:eastAsia="仿宋_GB2312" w:cs="Times New Roman"/>
          <w:kern w:val="0"/>
          <w:sz w:val="30"/>
          <w:szCs w:val="30"/>
          <w:u w:val="none" w:color="auto"/>
          <w:lang w:val="en-US" w:eastAsia="zh-CN"/>
        </w:rPr>
        <w:t>事业</w:t>
      </w:r>
      <w:r>
        <w:rPr>
          <w:rFonts w:hint="default" w:ascii="Times New Roman" w:hAnsi="Times New Roman" w:eastAsia="仿宋_GB2312" w:cs="Times New Roman"/>
          <w:kern w:val="0"/>
          <w:sz w:val="30"/>
          <w:szCs w:val="30"/>
          <w:u w:val="none" w:color="auto"/>
        </w:rPr>
        <w:t>单位医疗（项）。年初预算</w:t>
      </w:r>
      <w:r>
        <w:rPr>
          <w:rFonts w:hint="default" w:ascii="Times New Roman" w:hAnsi="Times New Roman" w:eastAsia="仿宋_GB2312" w:cs="Times New Roman"/>
          <w:kern w:val="0"/>
          <w:sz w:val="30"/>
          <w:szCs w:val="30"/>
          <w:u w:val="none" w:color="auto"/>
          <w:lang w:val="en-US" w:eastAsia="zh-CN"/>
        </w:rPr>
        <w:t>14.08</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10.60</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75.3</w:t>
      </w:r>
      <w:r>
        <w:rPr>
          <w:rFonts w:hint="default" w:ascii="Times New Roman" w:hAnsi="Times New Roman" w:eastAsia="仿宋_GB2312" w:cs="Times New Roman"/>
          <w:kern w:val="0"/>
          <w:sz w:val="30"/>
          <w:szCs w:val="30"/>
          <w:u w:val="none" w:color="auto"/>
        </w:rPr>
        <w:t>%。决算数与年初预算数的差异原因：原监察大队在职7人，退休4人合并至根河市应急局。</w:t>
      </w:r>
    </w:p>
    <w:p w14:paraId="2AB325F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eastAsia" w:ascii="Times New Roman" w:hAnsi="Times New Roman" w:eastAsia="仿宋_GB2312" w:cs="Times New Roman"/>
          <w:kern w:val="0"/>
          <w:sz w:val="30"/>
          <w:szCs w:val="30"/>
          <w:u w:val="none" w:color="auto"/>
        </w:rPr>
        <w:t xml:space="preserve">  </w:t>
      </w:r>
      <w:r>
        <w:rPr>
          <w:rFonts w:hint="default" w:ascii="Times New Roman" w:hAnsi="Times New Roman" w:eastAsia="仿宋_GB2312" w:cs="Times New Roman"/>
          <w:kern w:val="0"/>
          <w:sz w:val="30"/>
          <w:szCs w:val="30"/>
          <w:u w:val="none" w:color="auto"/>
        </w:rPr>
        <w:t>（</w:t>
      </w:r>
      <w:r>
        <w:rPr>
          <w:rFonts w:hint="eastAsia" w:ascii="Times New Roman" w:hAnsi="Times New Roman" w:eastAsia="仿宋_GB2312" w:cs="Times New Roman"/>
          <w:kern w:val="0"/>
          <w:sz w:val="30"/>
          <w:szCs w:val="30"/>
          <w:u w:val="none" w:color="auto"/>
          <w:lang w:eastAsia="zh-CN"/>
        </w:rPr>
        <w:t>三</w:t>
      </w:r>
      <w:r>
        <w:rPr>
          <w:rFonts w:hint="default" w:ascii="Times New Roman" w:hAnsi="Times New Roman" w:eastAsia="仿宋_GB2312" w:cs="Times New Roman"/>
          <w:kern w:val="0"/>
          <w:sz w:val="30"/>
          <w:szCs w:val="30"/>
          <w:u w:val="none" w:color="auto"/>
        </w:rPr>
        <w:t>）</w:t>
      </w:r>
      <w:r>
        <w:rPr>
          <w:rFonts w:hint="eastAsia" w:ascii="Times New Roman" w:hAnsi="Times New Roman" w:eastAsia="仿宋_GB2312" w:cs="Times New Roman"/>
          <w:kern w:val="0"/>
          <w:sz w:val="30"/>
          <w:szCs w:val="30"/>
          <w:u w:val="none" w:color="auto"/>
          <w:lang w:val="en-US" w:eastAsia="zh-CN"/>
        </w:rPr>
        <w:t>自然资源海洋气象等支出</w:t>
      </w:r>
      <w:r>
        <w:rPr>
          <w:rFonts w:hint="default" w:ascii="Times New Roman" w:hAnsi="Times New Roman" w:eastAsia="仿宋_GB2312" w:cs="Times New Roman"/>
          <w:kern w:val="0"/>
          <w:sz w:val="30"/>
          <w:szCs w:val="30"/>
          <w:u w:val="none" w:color="auto"/>
        </w:rPr>
        <w:t>（类）</w:t>
      </w:r>
    </w:p>
    <w:p w14:paraId="0B576389">
      <w:pPr>
        <w:keepNext w:val="0"/>
        <w:keepLines w:val="0"/>
        <w:pageBreakBefore w:val="0"/>
        <w:widowControl/>
        <w:kinsoku/>
        <w:wordWrap/>
        <w:overflowPunct/>
        <w:topLinePunct w:val="0"/>
        <w:autoSpaceDE/>
        <w:autoSpaceDN/>
        <w:bidi w:val="0"/>
        <w:adjustRightInd/>
        <w:snapToGrid/>
        <w:textAlignment w:val="auto"/>
        <w:rPr>
          <w:rFonts w:hint="eastAsia"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xml:space="preserve">    </w:t>
      </w:r>
      <w:r>
        <w:rPr>
          <w:rFonts w:hint="eastAsia" w:ascii="Times New Roman" w:hAnsi="Times New Roman" w:eastAsia="仿宋_GB2312" w:cs="Times New Roman"/>
          <w:kern w:val="0"/>
          <w:sz w:val="30"/>
          <w:szCs w:val="30"/>
          <w:u w:val="none" w:color="auto"/>
          <w:lang w:val="en-US" w:eastAsia="zh-CN"/>
        </w:rPr>
        <w:t>自然资源海洋气象等支出</w:t>
      </w:r>
      <w:r>
        <w:rPr>
          <w:rFonts w:hint="eastAsia" w:ascii="Times New Roman" w:hAnsi="Times New Roman" w:eastAsia="仿宋_GB2312" w:cs="Times New Roman"/>
          <w:kern w:val="0"/>
          <w:sz w:val="30"/>
          <w:szCs w:val="30"/>
          <w:u w:val="none" w:color="auto"/>
        </w:rPr>
        <w:t>类决算数为</w:t>
      </w:r>
      <w:r>
        <w:rPr>
          <w:rFonts w:hint="eastAsia" w:ascii="Times New Roman" w:hAnsi="Times New Roman" w:eastAsia="仿宋_GB2312" w:cs="Times New Roman"/>
          <w:kern w:val="0"/>
          <w:sz w:val="30"/>
          <w:szCs w:val="30"/>
          <w:u w:val="none" w:color="auto"/>
          <w:lang w:val="en-US" w:eastAsia="zh-CN"/>
        </w:rPr>
        <w:t>431.28</w:t>
      </w:r>
      <w:r>
        <w:rPr>
          <w:rFonts w:hint="eastAsia" w:ascii="Times New Roman" w:hAnsi="Times New Roman" w:eastAsia="仿宋_GB2312" w:cs="Times New Roman"/>
          <w:kern w:val="0"/>
          <w:sz w:val="30"/>
          <w:szCs w:val="30"/>
          <w:u w:val="none" w:color="auto"/>
        </w:rPr>
        <w:t>万元，与年初预算相比增加</w:t>
      </w:r>
      <w:r>
        <w:rPr>
          <w:rFonts w:hint="eastAsia" w:ascii="Times New Roman" w:hAnsi="Times New Roman" w:eastAsia="仿宋_GB2312" w:cs="Times New Roman"/>
          <w:kern w:val="0"/>
          <w:sz w:val="30"/>
          <w:szCs w:val="30"/>
          <w:u w:val="none" w:color="auto"/>
          <w:lang w:val="en-US" w:eastAsia="zh-CN"/>
        </w:rPr>
        <w:t>235.24</w:t>
      </w:r>
      <w:r>
        <w:rPr>
          <w:rFonts w:hint="eastAsia" w:ascii="Times New Roman" w:hAnsi="Times New Roman" w:eastAsia="仿宋_GB2312" w:cs="Times New Roman"/>
          <w:kern w:val="0"/>
          <w:sz w:val="30"/>
          <w:szCs w:val="30"/>
          <w:u w:val="none" w:color="auto"/>
        </w:rPr>
        <w:t>万元。其中：</w:t>
      </w:r>
    </w:p>
    <w:p w14:paraId="263CACFF">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Times New Roman" w:hAnsi="Times New Roman" w:eastAsia="仿宋_GB2312" w:cs="Times New Roman"/>
          <w:kern w:val="0"/>
          <w:sz w:val="30"/>
          <w:szCs w:val="30"/>
          <w:u w:val="none" w:color="auto"/>
        </w:rPr>
      </w:pPr>
      <w:r>
        <w:rPr>
          <w:rFonts w:hint="eastAsia" w:ascii="Times New Roman" w:hAnsi="Times New Roman" w:eastAsia="仿宋_GB2312" w:cs="Times New Roman"/>
          <w:kern w:val="0"/>
          <w:sz w:val="30"/>
          <w:szCs w:val="30"/>
          <w:u w:val="none" w:color="auto"/>
        </w:rPr>
        <w:t>1．</w:t>
      </w:r>
      <w:r>
        <w:rPr>
          <w:rFonts w:hint="eastAsia" w:ascii="Times New Roman" w:hAnsi="Times New Roman" w:eastAsia="仿宋_GB2312" w:cs="Times New Roman"/>
          <w:kern w:val="0"/>
          <w:sz w:val="30"/>
          <w:szCs w:val="30"/>
          <w:u w:val="none" w:color="auto"/>
          <w:lang w:val="en-US" w:eastAsia="zh-CN"/>
        </w:rPr>
        <w:t>自然资源事务</w:t>
      </w:r>
      <w:r>
        <w:rPr>
          <w:rFonts w:hint="eastAsia" w:ascii="Times New Roman" w:hAnsi="Times New Roman" w:eastAsia="仿宋_GB2312" w:cs="Times New Roman"/>
          <w:kern w:val="0"/>
          <w:sz w:val="30"/>
          <w:szCs w:val="30"/>
          <w:u w:val="none" w:color="auto"/>
        </w:rPr>
        <w:t>（款）</w:t>
      </w:r>
      <w:r>
        <w:rPr>
          <w:rFonts w:hint="eastAsia" w:ascii="Times New Roman" w:hAnsi="Times New Roman" w:eastAsia="仿宋_GB2312" w:cs="Times New Roman"/>
          <w:kern w:val="0"/>
          <w:sz w:val="30"/>
          <w:szCs w:val="30"/>
          <w:u w:val="none" w:color="auto"/>
          <w:lang w:val="en-US" w:eastAsia="zh-CN"/>
        </w:rPr>
        <w:t>行政运行</w:t>
      </w:r>
      <w:r>
        <w:rPr>
          <w:rFonts w:hint="eastAsia" w:ascii="Times New Roman" w:hAnsi="Times New Roman" w:eastAsia="仿宋_GB2312" w:cs="Times New Roman"/>
          <w:kern w:val="0"/>
          <w:sz w:val="30"/>
          <w:szCs w:val="30"/>
          <w:u w:val="none" w:color="auto"/>
        </w:rPr>
        <w:t>（项）。年初预算</w:t>
      </w:r>
      <w:r>
        <w:rPr>
          <w:rFonts w:hint="eastAsia" w:ascii="Times New Roman" w:hAnsi="Times New Roman" w:eastAsia="仿宋_GB2312" w:cs="Times New Roman"/>
          <w:kern w:val="0"/>
          <w:sz w:val="30"/>
          <w:szCs w:val="30"/>
          <w:u w:val="none" w:color="auto"/>
          <w:lang w:val="en-US" w:eastAsia="zh-CN"/>
        </w:rPr>
        <w:t>196.04</w:t>
      </w:r>
      <w:r>
        <w:rPr>
          <w:rFonts w:hint="eastAsia" w:ascii="Times New Roman" w:hAnsi="Times New Roman" w:eastAsia="仿宋_GB2312" w:cs="Times New Roman"/>
          <w:kern w:val="0"/>
          <w:sz w:val="30"/>
          <w:szCs w:val="30"/>
          <w:u w:val="none" w:color="auto"/>
        </w:rPr>
        <w:t>万元，支出决算</w:t>
      </w:r>
      <w:r>
        <w:rPr>
          <w:rFonts w:hint="eastAsia" w:ascii="Times New Roman" w:hAnsi="Times New Roman" w:eastAsia="仿宋_GB2312" w:cs="Times New Roman"/>
          <w:kern w:val="0"/>
          <w:sz w:val="30"/>
          <w:szCs w:val="30"/>
          <w:u w:val="none" w:color="auto"/>
          <w:lang w:val="en-US" w:eastAsia="zh-CN"/>
        </w:rPr>
        <w:t>229.12</w:t>
      </w:r>
      <w:r>
        <w:rPr>
          <w:rFonts w:hint="eastAsia" w:ascii="Times New Roman" w:hAnsi="Times New Roman" w:eastAsia="仿宋_GB2312" w:cs="Times New Roman"/>
          <w:kern w:val="0"/>
          <w:sz w:val="30"/>
          <w:szCs w:val="30"/>
          <w:u w:val="none" w:color="auto"/>
        </w:rPr>
        <w:t>万元，完成年初预算的</w:t>
      </w:r>
      <w:r>
        <w:rPr>
          <w:rFonts w:hint="eastAsia" w:ascii="Times New Roman" w:hAnsi="Times New Roman" w:eastAsia="仿宋_GB2312" w:cs="Times New Roman"/>
          <w:kern w:val="0"/>
          <w:sz w:val="30"/>
          <w:szCs w:val="30"/>
          <w:u w:val="none" w:color="auto"/>
          <w:lang w:val="en-US" w:eastAsia="zh-CN"/>
        </w:rPr>
        <w:t>116.87</w:t>
      </w:r>
      <w:r>
        <w:rPr>
          <w:rFonts w:hint="eastAsia" w:ascii="Times New Roman" w:hAnsi="Times New Roman" w:eastAsia="仿宋_GB2312" w:cs="Times New Roman"/>
          <w:kern w:val="0"/>
          <w:sz w:val="30"/>
          <w:szCs w:val="30"/>
          <w:u w:val="none" w:color="auto"/>
        </w:rPr>
        <w:t>%。决算数与年初预算数的差异原因：</w:t>
      </w:r>
      <w:r>
        <w:rPr>
          <w:rFonts w:hint="eastAsia" w:ascii="Times New Roman" w:hAnsi="Times New Roman" w:eastAsia="仿宋_GB2312" w:cs="Times New Roman"/>
          <w:kern w:val="0"/>
          <w:sz w:val="30"/>
          <w:szCs w:val="30"/>
          <w:u w:val="none" w:color="auto"/>
          <w:lang w:val="en-US" w:eastAsia="zh-CN"/>
        </w:rPr>
        <w:t>本年度有3名新考录人员</w:t>
      </w:r>
      <w:r>
        <w:rPr>
          <w:rFonts w:hint="eastAsia" w:ascii="Times New Roman" w:hAnsi="Times New Roman" w:eastAsia="仿宋_GB2312" w:cs="Times New Roman"/>
          <w:kern w:val="0"/>
          <w:sz w:val="30"/>
          <w:szCs w:val="30"/>
          <w:u w:val="none" w:color="auto"/>
        </w:rPr>
        <w:t>。</w:t>
      </w:r>
    </w:p>
    <w:p w14:paraId="34EDEC46">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rPr>
      </w:pPr>
      <w:r>
        <w:rPr>
          <w:rFonts w:hint="eastAsia" w:ascii="Times New Roman" w:hAnsi="Times New Roman" w:eastAsia="仿宋_GB2312" w:cs="Times New Roman"/>
          <w:kern w:val="0"/>
          <w:sz w:val="30"/>
          <w:szCs w:val="30"/>
          <w:u w:val="none" w:color="auto"/>
          <w:lang w:val="en-US" w:eastAsia="zh-CN"/>
        </w:rPr>
        <w:t>2</w:t>
      </w:r>
      <w:r>
        <w:rPr>
          <w:rFonts w:hint="eastAsia" w:ascii="Times New Roman" w:hAnsi="Times New Roman" w:eastAsia="仿宋_GB2312" w:cs="Times New Roman"/>
          <w:kern w:val="0"/>
          <w:sz w:val="30"/>
          <w:szCs w:val="30"/>
          <w:u w:val="none" w:color="auto"/>
        </w:rPr>
        <w:t>．</w:t>
      </w:r>
      <w:r>
        <w:rPr>
          <w:rFonts w:hint="eastAsia" w:ascii="Times New Roman" w:hAnsi="Times New Roman" w:eastAsia="仿宋_GB2312" w:cs="Times New Roman"/>
          <w:kern w:val="0"/>
          <w:sz w:val="30"/>
          <w:szCs w:val="30"/>
          <w:u w:val="none" w:color="auto"/>
          <w:lang w:val="en-US" w:eastAsia="zh-CN"/>
        </w:rPr>
        <w:t>自然资源事务</w:t>
      </w:r>
      <w:r>
        <w:rPr>
          <w:rFonts w:hint="eastAsia" w:ascii="Times New Roman" w:hAnsi="Times New Roman" w:eastAsia="仿宋_GB2312" w:cs="Times New Roman"/>
          <w:kern w:val="0"/>
          <w:sz w:val="30"/>
          <w:szCs w:val="30"/>
          <w:u w:val="none" w:color="auto"/>
        </w:rPr>
        <w:t>（款）</w:t>
      </w:r>
      <w:r>
        <w:rPr>
          <w:rFonts w:hint="eastAsia" w:ascii="Times New Roman" w:hAnsi="Times New Roman" w:eastAsia="仿宋_GB2312" w:cs="Times New Roman"/>
          <w:kern w:val="0"/>
          <w:sz w:val="30"/>
          <w:szCs w:val="30"/>
          <w:u w:val="none" w:color="auto"/>
          <w:lang w:val="en-US" w:eastAsia="zh-CN"/>
        </w:rPr>
        <w:t>其他自然资源事务支出</w:t>
      </w:r>
      <w:r>
        <w:rPr>
          <w:rFonts w:hint="eastAsia" w:ascii="Times New Roman" w:hAnsi="Times New Roman" w:eastAsia="仿宋_GB2312" w:cs="Times New Roman"/>
          <w:kern w:val="0"/>
          <w:sz w:val="30"/>
          <w:szCs w:val="30"/>
          <w:u w:val="none" w:color="auto"/>
        </w:rPr>
        <w:t>（项）。年初预算</w:t>
      </w:r>
      <w:r>
        <w:rPr>
          <w:rFonts w:hint="eastAsia" w:ascii="Times New Roman" w:hAnsi="Times New Roman" w:eastAsia="仿宋_GB2312" w:cs="Times New Roman"/>
          <w:kern w:val="0"/>
          <w:sz w:val="30"/>
          <w:szCs w:val="30"/>
          <w:u w:val="none" w:color="auto"/>
          <w:lang w:val="en-US" w:eastAsia="zh-CN"/>
        </w:rPr>
        <w:t>0.00</w:t>
      </w:r>
      <w:r>
        <w:rPr>
          <w:rFonts w:hint="eastAsia" w:ascii="Times New Roman" w:hAnsi="Times New Roman" w:eastAsia="仿宋_GB2312" w:cs="Times New Roman"/>
          <w:kern w:val="0"/>
          <w:sz w:val="30"/>
          <w:szCs w:val="30"/>
          <w:u w:val="none" w:color="auto"/>
        </w:rPr>
        <w:t>万元，支出决算</w:t>
      </w:r>
      <w:r>
        <w:rPr>
          <w:rFonts w:hint="eastAsia" w:ascii="Times New Roman" w:hAnsi="Times New Roman" w:eastAsia="仿宋_GB2312" w:cs="Times New Roman"/>
          <w:kern w:val="0"/>
          <w:sz w:val="30"/>
          <w:szCs w:val="30"/>
          <w:u w:val="none" w:color="auto"/>
          <w:lang w:val="en-US" w:eastAsia="zh-CN"/>
        </w:rPr>
        <w:t>202.17</w:t>
      </w:r>
      <w:r>
        <w:rPr>
          <w:rFonts w:hint="eastAsia" w:ascii="Times New Roman" w:hAnsi="Times New Roman" w:eastAsia="仿宋_GB2312" w:cs="Times New Roman"/>
          <w:kern w:val="0"/>
          <w:sz w:val="30"/>
          <w:szCs w:val="30"/>
          <w:u w:val="none" w:color="auto"/>
        </w:rPr>
        <w:t>万元，完成年初预算的</w:t>
      </w:r>
      <w:r>
        <w:rPr>
          <w:rFonts w:hint="eastAsia" w:ascii="Times New Roman" w:hAnsi="Times New Roman" w:eastAsia="仿宋_GB2312" w:cs="Times New Roman"/>
          <w:kern w:val="0"/>
          <w:sz w:val="30"/>
          <w:szCs w:val="30"/>
          <w:u w:val="none" w:color="auto"/>
          <w:lang w:val="en-US" w:eastAsia="zh-CN"/>
        </w:rPr>
        <w:t>100</w:t>
      </w:r>
      <w:r>
        <w:rPr>
          <w:rFonts w:hint="eastAsia" w:ascii="Times New Roman" w:hAnsi="Times New Roman" w:eastAsia="仿宋_GB2312" w:cs="Times New Roman"/>
          <w:kern w:val="0"/>
          <w:sz w:val="30"/>
          <w:szCs w:val="30"/>
          <w:u w:val="none" w:color="auto"/>
        </w:rPr>
        <w:t>%。决算数与年初预算数的差异原因：</w:t>
      </w:r>
      <w:r>
        <w:rPr>
          <w:rFonts w:hint="eastAsia" w:ascii="Times New Roman" w:hAnsi="Times New Roman" w:eastAsia="仿宋_GB2312" w:cs="Times New Roman"/>
          <w:kern w:val="0"/>
          <w:sz w:val="30"/>
          <w:szCs w:val="30"/>
          <w:u w:val="none" w:color="auto"/>
          <w:lang w:val="en-US" w:eastAsia="zh-CN"/>
        </w:rPr>
        <w:t>本年度项目支出增加</w:t>
      </w:r>
      <w:r>
        <w:rPr>
          <w:rFonts w:hint="eastAsia" w:ascii="Times New Roman" w:hAnsi="Times New Roman" w:eastAsia="仿宋_GB2312" w:cs="Times New Roman"/>
          <w:kern w:val="0"/>
          <w:sz w:val="30"/>
          <w:szCs w:val="30"/>
          <w:u w:val="none" w:color="auto"/>
        </w:rPr>
        <w:t>。</w:t>
      </w:r>
    </w:p>
    <w:p w14:paraId="24D49A9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w:t>
      </w:r>
      <w:r>
        <w:rPr>
          <w:rFonts w:hint="eastAsia" w:ascii="Times New Roman" w:hAnsi="Times New Roman" w:eastAsia="仿宋_GB2312" w:cs="Times New Roman"/>
          <w:kern w:val="0"/>
          <w:sz w:val="30"/>
          <w:szCs w:val="30"/>
          <w:u w:val="none" w:color="auto"/>
          <w:lang w:val="en-US" w:eastAsia="zh-CN"/>
        </w:rPr>
        <w:t>四</w:t>
      </w:r>
      <w:r>
        <w:rPr>
          <w:rFonts w:hint="default" w:ascii="Times New Roman" w:hAnsi="Times New Roman" w:eastAsia="仿宋_GB2312" w:cs="Times New Roman"/>
          <w:kern w:val="0"/>
          <w:sz w:val="30"/>
          <w:szCs w:val="30"/>
          <w:u w:val="none" w:color="auto"/>
        </w:rPr>
        <w:t>）住房保障支出（类）</w:t>
      </w:r>
    </w:p>
    <w:p w14:paraId="30236BF8">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rPr>
      </w:pPr>
      <w:r>
        <w:rPr>
          <w:rFonts w:hint="default" w:ascii="Times New Roman" w:hAnsi="Times New Roman" w:eastAsia="仿宋_GB2312" w:cs="Times New Roman"/>
          <w:kern w:val="0"/>
          <w:sz w:val="30"/>
          <w:szCs w:val="30"/>
          <w:u w:val="none" w:color="auto"/>
        </w:rPr>
        <w:t> 住房保障支出（类）决算数为 16.39万元，与年初预算相比减少3.44万元。其中：</w:t>
      </w:r>
    </w:p>
    <w:p w14:paraId="04275B70">
      <w:pPr>
        <w:keepNext w:val="0"/>
        <w:keepLines w:val="0"/>
        <w:pageBreakBefore w:val="0"/>
        <w:widowControl/>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kern w:val="0"/>
          <w:sz w:val="30"/>
          <w:szCs w:val="30"/>
          <w:u w:val="none" w:color="auto"/>
        </w:rPr>
      </w:pPr>
      <w:r>
        <w:rPr>
          <w:rFonts w:hint="eastAsia" w:ascii="Times New Roman" w:hAnsi="Times New Roman" w:eastAsia="仿宋_GB2312" w:cs="Times New Roman"/>
          <w:kern w:val="0"/>
          <w:sz w:val="30"/>
          <w:szCs w:val="30"/>
          <w:u w:val="none" w:color="auto"/>
          <w:lang w:val="en-US" w:eastAsia="zh-CN"/>
        </w:rPr>
        <w:t>1</w:t>
      </w:r>
      <w:r>
        <w:rPr>
          <w:rFonts w:hint="default" w:ascii="Times New Roman" w:hAnsi="Times New Roman" w:eastAsia="仿宋_GB2312" w:cs="Times New Roman"/>
          <w:kern w:val="0"/>
          <w:sz w:val="30"/>
          <w:szCs w:val="30"/>
          <w:u w:val="none" w:color="auto"/>
          <w:lang w:val="en-US" w:eastAsia="zh-CN"/>
        </w:rPr>
        <w:t>.</w:t>
      </w:r>
      <w:r>
        <w:rPr>
          <w:rFonts w:hint="eastAsia" w:ascii="Times New Roman" w:hAnsi="Times New Roman" w:eastAsia="仿宋_GB2312" w:cs="Times New Roman"/>
          <w:kern w:val="0"/>
          <w:sz w:val="30"/>
          <w:szCs w:val="30"/>
          <w:u w:val="none" w:color="auto"/>
          <w:lang w:val="en-US" w:eastAsia="zh-CN"/>
        </w:rPr>
        <w:t xml:space="preserve"> </w:t>
      </w:r>
      <w:r>
        <w:rPr>
          <w:rFonts w:hint="default" w:ascii="Times New Roman" w:hAnsi="Times New Roman" w:eastAsia="仿宋_GB2312" w:cs="Times New Roman"/>
          <w:kern w:val="0"/>
          <w:sz w:val="30"/>
          <w:szCs w:val="30"/>
          <w:u w:val="none" w:color="auto"/>
        </w:rPr>
        <w:t>住房改革支出（款）住房公积金（项）。年初预算</w:t>
      </w:r>
      <w:r>
        <w:rPr>
          <w:rFonts w:hint="default" w:ascii="Times New Roman" w:hAnsi="Times New Roman" w:eastAsia="仿宋_GB2312" w:cs="Times New Roman"/>
          <w:kern w:val="0"/>
          <w:sz w:val="30"/>
          <w:szCs w:val="30"/>
          <w:u w:val="none" w:color="auto"/>
          <w:lang w:val="en-US" w:eastAsia="zh-CN"/>
        </w:rPr>
        <w:t>19.83</w:t>
      </w:r>
      <w:r>
        <w:rPr>
          <w:rFonts w:hint="default" w:ascii="Times New Roman" w:hAnsi="Times New Roman" w:eastAsia="仿宋_GB2312" w:cs="Times New Roman"/>
          <w:kern w:val="0"/>
          <w:sz w:val="30"/>
          <w:szCs w:val="30"/>
          <w:u w:val="none" w:color="auto"/>
        </w:rPr>
        <w:t>万元，支出决算</w:t>
      </w:r>
      <w:r>
        <w:rPr>
          <w:rFonts w:hint="default" w:ascii="Times New Roman" w:hAnsi="Times New Roman" w:eastAsia="仿宋_GB2312" w:cs="Times New Roman"/>
          <w:kern w:val="0"/>
          <w:sz w:val="30"/>
          <w:szCs w:val="30"/>
          <w:u w:val="none" w:color="auto"/>
          <w:lang w:val="en-US" w:eastAsia="zh-CN"/>
        </w:rPr>
        <w:t>16.39</w:t>
      </w:r>
      <w:r>
        <w:rPr>
          <w:rFonts w:hint="default" w:ascii="Times New Roman" w:hAnsi="Times New Roman" w:eastAsia="仿宋_GB2312" w:cs="Times New Roman"/>
          <w:kern w:val="0"/>
          <w:sz w:val="30"/>
          <w:szCs w:val="30"/>
          <w:u w:val="none" w:color="auto"/>
        </w:rPr>
        <w:t>万元，完成年初预算的</w:t>
      </w:r>
      <w:r>
        <w:rPr>
          <w:rFonts w:hint="default" w:ascii="Times New Roman" w:hAnsi="Times New Roman" w:eastAsia="仿宋_GB2312" w:cs="Times New Roman"/>
          <w:kern w:val="0"/>
          <w:sz w:val="30"/>
          <w:szCs w:val="30"/>
          <w:u w:val="none" w:color="auto"/>
          <w:lang w:val="en-US" w:eastAsia="zh-CN"/>
        </w:rPr>
        <w:t>82.7</w:t>
      </w:r>
      <w:r>
        <w:rPr>
          <w:rFonts w:hint="default" w:ascii="Times New Roman" w:hAnsi="Times New Roman" w:eastAsia="仿宋_GB2312" w:cs="Times New Roman"/>
          <w:kern w:val="0"/>
          <w:sz w:val="30"/>
          <w:szCs w:val="30"/>
          <w:u w:val="none" w:color="auto"/>
        </w:rPr>
        <w:t>%。决算数与年初预算数的差异原因：原监察大队在职7人，退休4人合并至根河市应急局。</w:t>
      </w:r>
    </w:p>
    <w:p w14:paraId="01E2E46B">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六、一般公共预算财政拨款基本支出决算情况说明</w:t>
      </w:r>
    </w:p>
    <w:p w14:paraId="4E952F0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kern w:val="0"/>
          <w:sz w:val="30"/>
          <w:szCs w:val="30"/>
          <w:u w:val="none" w:color="auto"/>
        </w:rPr>
        <w:t xml:space="preserve">    </w:t>
      </w:r>
      <w:r>
        <w:rPr>
          <w:rFonts w:hint="default" w:ascii="Times New Roman" w:hAnsi="Times New Roman" w:eastAsia="仿宋_GB2312" w:cs="Times New Roman"/>
          <w:color w:val="000000"/>
          <w:kern w:val="0"/>
          <w:sz w:val="30"/>
          <w:szCs w:val="30"/>
          <w:u w:val="none" w:color="auto"/>
        </w:rPr>
        <w:t>内蒙古自治区呼伦贝尔市根河市自然资源局2024年度一般公共预算财政拨款基本支出决算</w:t>
      </w:r>
      <w:r>
        <w:rPr>
          <w:rFonts w:hint="default" w:ascii="Times New Roman" w:hAnsi="Times New Roman" w:eastAsia="times_new_roman" w:cs="Times New Roman"/>
          <w:color w:val="000000"/>
          <w:kern w:val="0"/>
          <w:sz w:val="30"/>
          <w:szCs w:val="30"/>
          <w:u w:val="none" w:color="auto"/>
        </w:rPr>
        <w:t> 296.41</w:t>
      </w:r>
      <w:r>
        <w:rPr>
          <w:rFonts w:hint="default" w:ascii="Times New Roman" w:hAnsi="Times New Roman" w:eastAsia="仿宋_GB2312" w:cs="Times New Roman"/>
          <w:color w:val="000000"/>
          <w:kern w:val="0"/>
          <w:sz w:val="30"/>
          <w:szCs w:val="30"/>
          <w:u w:val="none" w:color="auto"/>
        </w:rPr>
        <w:t>万元，其中：</w:t>
      </w:r>
    </w:p>
    <w:p w14:paraId="4E32315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b/>
          <w:bCs/>
          <w:color w:val="000000"/>
          <w:kern w:val="0"/>
          <w:sz w:val="30"/>
          <w:szCs w:val="30"/>
          <w:u w:val="none" w:color="auto"/>
        </w:rPr>
        <w:t>    （一）人员经费</w:t>
      </w:r>
      <w:r>
        <w:rPr>
          <w:rFonts w:hint="default" w:ascii="Times New Roman" w:hAnsi="Times New Roman" w:eastAsia="times_new_roman" w:cs="Times New Roman"/>
          <w:color w:val="000000"/>
          <w:kern w:val="0"/>
          <w:sz w:val="30"/>
          <w:szCs w:val="30"/>
          <w:u w:val="none" w:color="auto"/>
        </w:rPr>
        <w:t> 224.02</w:t>
      </w:r>
      <w:r>
        <w:rPr>
          <w:rFonts w:hint="default" w:ascii="Times New Roman" w:hAnsi="Times New Roman" w:eastAsia="仿宋_GB2312" w:cs="Times New Roman"/>
          <w:b/>
          <w:bCs/>
          <w:color w:val="000000"/>
          <w:kern w:val="0"/>
          <w:sz w:val="30"/>
          <w:szCs w:val="30"/>
          <w:u w:val="none" w:color="auto"/>
        </w:rPr>
        <w:t>万元</w:t>
      </w:r>
      <w:r>
        <w:rPr>
          <w:rFonts w:hint="default" w:ascii="Times New Roman" w:hAnsi="Times New Roman" w:eastAsia="仿宋_GB2312" w:cs="Times New Roman"/>
          <w:color w:val="000000"/>
          <w:kern w:val="0"/>
          <w:sz w:val="30"/>
          <w:szCs w:val="30"/>
          <w:u w:val="none" w:color="auto"/>
        </w:rPr>
        <w:t>。主要包括：基本工资</w:t>
      </w:r>
      <w:r>
        <w:rPr>
          <w:rFonts w:hint="eastAsia" w:eastAsia="仿宋_GB2312" w:cs="Times New Roman"/>
          <w:color w:val="000000"/>
          <w:kern w:val="0"/>
          <w:sz w:val="30"/>
          <w:szCs w:val="30"/>
          <w:u w:val="none" w:color="auto"/>
          <w:lang w:val="en-US" w:eastAsia="zh-CN"/>
        </w:rPr>
        <w:t>77.37万元</w:t>
      </w:r>
      <w:r>
        <w:rPr>
          <w:rFonts w:hint="default" w:ascii="Times New Roman" w:hAnsi="Times New Roman" w:eastAsia="仿宋_GB2312" w:cs="Times New Roman"/>
          <w:color w:val="000000"/>
          <w:kern w:val="0"/>
          <w:sz w:val="30"/>
          <w:szCs w:val="30"/>
          <w:u w:val="none" w:color="auto"/>
        </w:rPr>
        <w:t>、津贴补贴</w:t>
      </w:r>
      <w:r>
        <w:rPr>
          <w:rFonts w:hint="eastAsia" w:eastAsia="仿宋_GB2312" w:cs="Times New Roman"/>
          <w:color w:val="000000"/>
          <w:kern w:val="0"/>
          <w:sz w:val="30"/>
          <w:szCs w:val="30"/>
          <w:u w:val="none" w:color="auto"/>
          <w:lang w:val="en-US" w:eastAsia="zh-CN"/>
        </w:rPr>
        <w:t>63.68万元</w:t>
      </w:r>
      <w:r>
        <w:rPr>
          <w:rFonts w:hint="default" w:ascii="Times New Roman" w:hAnsi="Times New Roman" w:eastAsia="仿宋_GB2312" w:cs="Times New Roman"/>
          <w:color w:val="000000"/>
          <w:kern w:val="0"/>
          <w:sz w:val="30"/>
          <w:szCs w:val="30"/>
          <w:u w:val="none" w:color="auto"/>
        </w:rPr>
        <w:t>、奖金</w:t>
      </w:r>
      <w:r>
        <w:rPr>
          <w:rFonts w:hint="eastAsia" w:eastAsia="仿宋_GB2312" w:cs="Times New Roman"/>
          <w:color w:val="000000"/>
          <w:kern w:val="0"/>
          <w:sz w:val="30"/>
          <w:szCs w:val="30"/>
          <w:u w:val="none" w:color="auto"/>
          <w:lang w:val="en-US" w:eastAsia="zh-CN"/>
        </w:rPr>
        <w:t>11.51万元</w:t>
      </w:r>
      <w:r>
        <w:rPr>
          <w:rFonts w:hint="default" w:ascii="Times New Roman" w:hAnsi="Times New Roman" w:eastAsia="仿宋_GB2312" w:cs="Times New Roman"/>
          <w:color w:val="000000"/>
          <w:kern w:val="0"/>
          <w:sz w:val="30"/>
          <w:szCs w:val="30"/>
          <w:u w:val="none" w:color="auto"/>
        </w:rPr>
        <w:t>、机关事业单位基本养老保险缴费</w:t>
      </w:r>
      <w:r>
        <w:rPr>
          <w:rFonts w:hint="eastAsia" w:eastAsia="仿宋_GB2312" w:cs="Times New Roman"/>
          <w:color w:val="000000"/>
          <w:kern w:val="0"/>
          <w:sz w:val="30"/>
          <w:szCs w:val="30"/>
          <w:u w:val="none" w:color="auto"/>
          <w:lang w:val="en-US" w:eastAsia="zh-CN"/>
        </w:rPr>
        <w:t>21.66万元</w:t>
      </w:r>
      <w:r>
        <w:rPr>
          <w:rFonts w:hint="default" w:ascii="Times New Roman" w:hAnsi="Times New Roman" w:eastAsia="仿宋_GB2312" w:cs="Times New Roman"/>
          <w:color w:val="000000"/>
          <w:kern w:val="0"/>
          <w:sz w:val="30"/>
          <w:szCs w:val="30"/>
          <w:u w:val="none" w:color="auto"/>
        </w:rPr>
        <w:t>、职业年金缴费</w:t>
      </w:r>
      <w:r>
        <w:rPr>
          <w:rFonts w:hint="eastAsia" w:eastAsia="仿宋_GB2312" w:cs="Times New Roman"/>
          <w:color w:val="000000"/>
          <w:kern w:val="0"/>
          <w:sz w:val="30"/>
          <w:szCs w:val="30"/>
          <w:u w:val="none" w:color="auto"/>
          <w:lang w:val="en-US" w:eastAsia="zh-CN"/>
        </w:rPr>
        <w:t>7.76万元</w:t>
      </w:r>
      <w:r>
        <w:rPr>
          <w:rFonts w:hint="default" w:ascii="Times New Roman" w:hAnsi="Times New Roman" w:eastAsia="仿宋_GB2312" w:cs="Times New Roman"/>
          <w:color w:val="000000"/>
          <w:kern w:val="0"/>
          <w:sz w:val="30"/>
          <w:szCs w:val="30"/>
          <w:u w:val="none" w:color="auto"/>
        </w:rPr>
        <w:t>、职工基本医疗保险缴费</w:t>
      </w:r>
      <w:r>
        <w:rPr>
          <w:rFonts w:hint="eastAsia" w:eastAsia="仿宋_GB2312" w:cs="Times New Roman"/>
          <w:color w:val="000000"/>
          <w:kern w:val="0"/>
          <w:sz w:val="30"/>
          <w:szCs w:val="30"/>
          <w:u w:val="none" w:color="auto"/>
          <w:lang w:val="en-US" w:eastAsia="zh-CN"/>
        </w:rPr>
        <w:t>10.60万元</w:t>
      </w:r>
      <w:r>
        <w:rPr>
          <w:rFonts w:hint="default" w:ascii="Times New Roman" w:hAnsi="Times New Roman" w:eastAsia="仿宋_GB2312" w:cs="Times New Roman"/>
          <w:color w:val="000000"/>
          <w:kern w:val="0"/>
          <w:sz w:val="30"/>
          <w:szCs w:val="30"/>
          <w:u w:val="none" w:color="auto"/>
        </w:rPr>
        <w:t>、</w:t>
      </w:r>
      <w:r>
        <w:rPr>
          <w:rFonts w:hint="default" w:ascii="Times New Roman" w:hAnsi="Times New Roman" w:eastAsia="仿宋_GB2312" w:cs="Times New Roman"/>
          <w:color w:val="000000"/>
          <w:kern w:val="0"/>
          <w:sz w:val="30"/>
          <w:szCs w:val="30"/>
          <w:u w:val="none" w:color="auto"/>
          <w:lang w:val="en-US" w:eastAsia="zh-CN"/>
        </w:rPr>
        <w:t>其他社会保障缴费</w:t>
      </w:r>
      <w:r>
        <w:rPr>
          <w:rFonts w:hint="eastAsia" w:eastAsia="仿宋_GB2312" w:cs="Times New Roman"/>
          <w:color w:val="000000"/>
          <w:kern w:val="0"/>
          <w:sz w:val="30"/>
          <w:szCs w:val="30"/>
          <w:u w:val="none" w:color="auto"/>
          <w:lang w:val="en-US" w:eastAsia="zh-CN"/>
        </w:rPr>
        <w:t>2.54万元</w:t>
      </w:r>
      <w:r>
        <w:rPr>
          <w:rFonts w:hint="default" w:ascii="Times New Roman" w:hAnsi="Times New Roman" w:eastAsia="仿宋_GB2312" w:cs="Times New Roman"/>
          <w:color w:val="000000"/>
          <w:kern w:val="0"/>
          <w:sz w:val="30"/>
          <w:szCs w:val="30"/>
          <w:u w:val="none" w:color="auto"/>
          <w:lang w:val="en-US" w:eastAsia="zh-CN"/>
        </w:rPr>
        <w:t>、</w:t>
      </w:r>
      <w:r>
        <w:rPr>
          <w:rFonts w:hint="default" w:ascii="Times New Roman" w:hAnsi="Times New Roman" w:eastAsia="仿宋_GB2312" w:cs="Times New Roman"/>
          <w:color w:val="000000"/>
          <w:kern w:val="0"/>
          <w:sz w:val="30"/>
          <w:szCs w:val="30"/>
          <w:u w:val="none" w:color="auto"/>
        </w:rPr>
        <w:t>住房公积金</w:t>
      </w:r>
      <w:r>
        <w:rPr>
          <w:rFonts w:hint="eastAsia" w:eastAsia="仿宋_GB2312" w:cs="Times New Roman"/>
          <w:color w:val="000000"/>
          <w:kern w:val="0"/>
          <w:sz w:val="30"/>
          <w:szCs w:val="30"/>
          <w:u w:val="none" w:color="auto"/>
          <w:lang w:val="en-US" w:eastAsia="zh-CN"/>
        </w:rPr>
        <w:t>16.39万元</w:t>
      </w:r>
      <w:r>
        <w:rPr>
          <w:rFonts w:hint="default" w:ascii="Times New Roman" w:hAnsi="Times New Roman" w:eastAsia="仿宋_GB2312" w:cs="Times New Roman"/>
          <w:color w:val="000000"/>
          <w:kern w:val="0"/>
          <w:sz w:val="30"/>
          <w:szCs w:val="30"/>
          <w:u w:val="none" w:color="auto"/>
        </w:rPr>
        <w:t>、退休费</w:t>
      </w:r>
      <w:r>
        <w:rPr>
          <w:rFonts w:hint="eastAsia" w:eastAsia="仿宋_GB2312" w:cs="Times New Roman"/>
          <w:color w:val="000000"/>
          <w:kern w:val="0"/>
          <w:sz w:val="30"/>
          <w:szCs w:val="30"/>
          <w:u w:val="none" w:color="auto"/>
          <w:lang w:val="en-US" w:eastAsia="zh-CN"/>
        </w:rPr>
        <w:t>8.68万元</w:t>
      </w:r>
      <w:r>
        <w:rPr>
          <w:rFonts w:hint="default" w:ascii="Times New Roman" w:hAnsi="Times New Roman" w:eastAsia="仿宋_GB2312" w:cs="Times New Roman"/>
          <w:color w:val="000000"/>
          <w:kern w:val="0"/>
          <w:sz w:val="30"/>
          <w:szCs w:val="30"/>
          <w:u w:val="none" w:color="auto"/>
        </w:rPr>
        <w:t>、其他对个人和家庭的补助支出</w:t>
      </w:r>
      <w:r>
        <w:rPr>
          <w:rFonts w:hint="eastAsia" w:eastAsia="仿宋_GB2312" w:cs="Times New Roman"/>
          <w:color w:val="000000"/>
          <w:kern w:val="0"/>
          <w:sz w:val="30"/>
          <w:szCs w:val="30"/>
          <w:u w:val="none" w:color="auto"/>
          <w:lang w:val="en-US" w:eastAsia="zh-CN"/>
        </w:rPr>
        <w:t>3.83万元</w:t>
      </w:r>
      <w:r>
        <w:rPr>
          <w:rFonts w:hint="default" w:ascii="Times New Roman" w:hAnsi="Times New Roman" w:eastAsia="仿宋_GB2312" w:cs="Times New Roman"/>
          <w:color w:val="000000"/>
          <w:kern w:val="0"/>
          <w:sz w:val="30"/>
          <w:szCs w:val="30"/>
          <w:u w:val="none" w:color="auto"/>
        </w:rPr>
        <w:t>。</w:t>
      </w:r>
    </w:p>
    <w:p w14:paraId="0CD3259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b/>
          <w:bCs/>
          <w:color w:val="000000"/>
          <w:kern w:val="0"/>
          <w:sz w:val="30"/>
          <w:szCs w:val="30"/>
          <w:u w:val="none" w:color="auto"/>
        </w:rPr>
        <w:t>    （二）公用经费</w:t>
      </w:r>
      <w:r>
        <w:rPr>
          <w:rFonts w:hint="default" w:ascii="Times New Roman" w:hAnsi="Times New Roman" w:eastAsia="times_new_roman" w:cs="Times New Roman"/>
          <w:color w:val="000000"/>
          <w:kern w:val="0"/>
          <w:sz w:val="30"/>
          <w:szCs w:val="30"/>
          <w:u w:val="none" w:color="auto"/>
        </w:rPr>
        <w:t> 72.38</w:t>
      </w:r>
      <w:r>
        <w:rPr>
          <w:rFonts w:hint="default" w:ascii="Times New Roman" w:hAnsi="Times New Roman" w:eastAsia="仿宋_GB2312" w:cs="Times New Roman"/>
          <w:b/>
          <w:bCs/>
          <w:color w:val="000000"/>
          <w:kern w:val="0"/>
          <w:sz w:val="30"/>
          <w:szCs w:val="30"/>
          <w:u w:val="none" w:color="auto"/>
        </w:rPr>
        <w:t>万元</w:t>
      </w:r>
      <w:r>
        <w:rPr>
          <w:rFonts w:hint="default" w:ascii="Times New Roman" w:hAnsi="Times New Roman" w:eastAsia="仿宋_GB2312" w:cs="Times New Roman"/>
          <w:color w:val="000000"/>
          <w:kern w:val="0"/>
          <w:sz w:val="30"/>
          <w:szCs w:val="30"/>
          <w:u w:val="none" w:color="auto"/>
        </w:rPr>
        <w:t>。主要包括：办公费</w:t>
      </w:r>
      <w:r>
        <w:rPr>
          <w:rFonts w:hint="eastAsia" w:eastAsia="仿宋_GB2312" w:cs="Times New Roman"/>
          <w:color w:val="000000"/>
          <w:kern w:val="0"/>
          <w:sz w:val="30"/>
          <w:szCs w:val="30"/>
          <w:u w:val="none" w:color="auto"/>
          <w:lang w:val="en-US" w:eastAsia="zh-CN"/>
        </w:rPr>
        <w:t>24.06万元</w:t>
      </w:r>
      <w:r>
        <w:rPr>
          <w:rFonts w:hint="default" w:ascii="Times New Roman" w:hAnsi="Times New Roman" w:eastAsia="仿宋_GB2312" w:cs="Times New Roman"/>
          <w:color w:val="000000"/>
          <w:kern w:val="0"/>
          <w:sz w:val="30"/>
          <w:szCs w:val="30"/>
          <w:u w:val="none" w:color="auto"/>
        </w:rPr>
        <w:t>、印刷费</w:t>
      </w:r>
      <w:r>
        <w:rPr>
          <w:rFonts w:hint="eastAsia" w:eastAsia="仿宋_GB2312" w:cs="Times New Roman"/>
          <w:color w:val="000000"/>
          <w:kern w:val="0"/>
          <w:sz w:val="30"/>
          <w:szCs w:val="30"/>
          <w:u w:val="none" w:color="auto"/>
          <w:lang w:val="en-US" w:eastAsia="zh-CN"/>
        </w:rPr>
        <w:t>1.97万元</w:t>
      </w:r>
      <w:r>
        <w:rPr>
          <w:rFonts w:hint="default" w:ascii="Times New Roman" w:hAnsi="Times New Roman" w:eastAsia="仿宋_GB2312" w:cs="Times New Roman"/>
          <w:color w:val="000000"/>
          <w:kern w:val="0"/>
          <w:sz w:val="30"/>
          <w:szCs w:val="30"/>
          <w:u w:val="none" w:color="auto"/>
        </w:rPr>
        <w:t>、水费</w:t>
      </w:r>
      <w:r>
        <w:rPr>
          <w:rFonts w:hint="eastAsia" w:eastAsia="仿宋_GB2312" w:cs="Times New Roman"/>
          <w:color w:val="000000"/>
          <w:kern w:val="0"/>
          <w:sz w:val="30"/>
          <w:szCs w:val="30"/>
          <w:u w:val="none" w:color="auto"/>
          <w:lang w:val="en-US" w:eastAsia="zh-CN"/>
        </w:rPr>
        <w:t>0.50万元</w:t>
      </w:r>
      <w:r>
        <w:rPr>
          <w:rFonts w:hint="default" w:ascii="Times New Roman" w:hAnsi="Times New Roman" w:eastAsia="仿宋_GB2312" w:cs="Times New Roman"/>
          <w:color w:val="000000"/>
          <w:kern w:val="0"/>
          <w:sz w:val="30"/>
          <w:szCs w:val="30"/>
          <w:u w:val="none" w:color="auto"/>
        </w:rPr>
        <w:t>、电费</w:t>
      </w:r>
      <w:r>
        <w:rPr>
          <w:rFonts w:hint="eastAsia" w:eastAsia="仿宋_GB2312" w:cs="Times New Roman"/>
          <w:color w:val="000000"/>
          <w:kern w:val="0"/>
          <w:sz w:val="30"/>
          <w:szCs w:val="30"/>
          <w:u w:val="none" w:color="auto"/>
          <w:lang w:val="en-US" w:eastAsia="zh-CN"/>
        </w:rPr>
        <w:t>2.05万元</w:t>
      </w:r>
      <w:r>
        <w:rPr>
          <w:rFonts w:hint="default" w:ascii="Times New Roman" w:hAnsi="Times New Roman" w:eastAsia="仿宋_GB2312" w:cs="Times New Roman"/>
          <w:color w:val="000000"/>
          <w:kern w:val="0"/>
          <w:sz w:val="30"/>
          <w:szCs w:val="30"/>
          <w:u w:val="none" w:color="auto"/>
        </w:rPr>
        <w:t>、邮电费</w:t>
      </w:r>
      <w:r>
        <w:rPr>
          <w:rFonts w:hint="eastAsia" w:eastAsia="仿宋_GB2312" w:cs="Times New Roman"/>
          <w:color w:val="000000"/>
          <w:kern w:val="0"/>
          <w:sz w:val="30"/>
          <w:szCs w:val="30"/>
          <w:u w:val="none" w:color="auto"/>
          <w:lang w:val="en-US" w:eastAsia="zh-CN"/>
        </w:rPr>
        <w:t>0.16万元</w:t>
      </w:r>
      <w:r>
        <w:rPr>
          <w:rFonts w:hint="default" w:ascii="Times New Roman" w:hAnsi="Times New Roman" w:eastAsia="仿宋_GB2312" w:cs="Times New Roman"/>
          <w:color w:val="000000"/>
          <w:kern w:val="0"/>
          <w:sz w:val="30"/>
          <w:szCs w:val="30"/>
          <w:u w:val="none" w:color="auto"/>
        </w:rPr>
        <w:t>、取暖费</w:t>
      </w:r>
      <w:r>
        <w:rPr>
          <w:rFonts w:hint="eastAsia" w:eastAsia="仿宋_GB2312" w:cs="Times New Roman"/>
          <w:color w:val="000000"/>
          <w:kern w:val="0"/>
          <w:sz w:val="30"/>
          <w:szCs w:val="30"/>
          <w:u w:val="none" w:color="auto"/>
          <w:lang w:val="en-US" w:eastAsia="zh-CN"/>
        </w:rPr>
        <w:t>8.23万元</w:t>
      </w:r>
      <w:r>
        <w:rPr>
          <w:rFonts w:hint="default" w:ascii="Times New Roman" w:hAnsi="Times New Roman" w:eastAsia="仿宋_GB2312" w:cs="Times New Roman"/>
          <w:color w:val="000000"/>
          <w:kern w:val="0"/>
          <w:sz w:val="30"/>
          <w:szCs w:val="30"/>
          <w:u w:val="none" w:color="auto"/>
        </w:rPr>
        <w:t>、差旅费</w:t>
      </w:r>
      <w:r>
        <w:rPr>
          <w:rFonts w:hint="eastAsia" w:eastAsia="仿宋_GB2312" w:cs="Times New Roman"/>
          <w:color w:val="000000"/>
          <w:kern w:val="0"/>
          <w:sz w:val="30"/>
          <w:szCs w:val="30"/>
          <w:u w:val="none" w:color="auto"/>
          <w:lang w:val="en-US" w:eastAsia="zh-CN"/>
        </w:rPr>
        <w:t>13.61万元</w:t>
      </w:r>
      <w:r>
        <w:rPr>
          <w:rFonts w:hint="default" w:ascii="Times New Roman" w:hAnsi="Times New Roman" w:eastAsia="仿宋_GB2312" w:cs="Times New Roman"/>
          <w:color w:val="000000"/>
          <w:kern w:val="0"/>
          <w:sz w:val="30"/>
          <w:szCs w:val="30"/>
          <w:u w:val="none" w:color="auto"/>
        </w:rPr>
        <w:t>、公务接待费</w:t>
      </w:r>
      <w:r>
        <w:rPr>
          <w:rFonts w:hint="eastAsia" w:eastAsia="仿宋_GB2312" w:cs="Times New Roman"/>
          <w:color w:val="000000"/>
          <w:kern w:val="0"/>
          <w:sz w:val="30"/>
          <w:szCs w:val="30"/>
          <w:u w:val="none" w:color="auto"/>
          <w:lang w:val="en-US" w:eastAsia="zh-CN"/>
        </w:rPr>
        <w:t>0.67万元</w:t>
      </w:r>
      <w:r>
        <w:rPr>
          <w:rFonts w:hint="default" w:ascii="Times New Roman" w:hAnsi="Times New Roman" w:eastAsia="仿宋_GB2312" w:cs="Times New Roman"/>
          <w:color w:val="000000"/>
          <w:kern w:val="0"/>
          <w:sz w:val="30"/>
          <w:szCs w:val="30"/>
          <w:u w:val="none" w:color="auto"/>
        </w:rPr>
        <w:t>、劳务费</w:t>
      </w:r>
      <w:r>
        <w:rPr>
          <w:rFonts w:hint="eastAsia" w:eastAsia="仿宋_GB2312" w:cs="Times New Roman"/>
          <w:color w:val="000000"/>
          <w:kern w:val="0"/>
          <w:sz w:val="30"/>
          <w:szCs w:val="30"/>
          <w:u w:val="none" w:color="auto"/>
          <w:lang w:val="en-US" w:eastAsia="zh-CN"/>
        </w:rPr>
        <w:t>4.50万元</w:t>
      </w:r>
      <w:r>
        <w:rPr>
          <w:rFonts w:hint="default" w:ascii="Times New Roman" w:hAnsi="Times New Roman" w:eastAsia="仿宋_GB2312" w:cs="Times New Roman"/>
          <w:color w:val="000000"/>
          <w:kern w:val="0"/>
          <w:sz w:val="30"/>
          <w:szCs w:val="30"/>
          <w:u w:val="none" w:color="auto"/>
        </w:rPr>
        <w:t>、工会经费</w:t>
      </w:r>
      <w:r>
        <w:rPr>
          <w:rFonts w:hint="eastAsia" w:eastAsia="仿宋_GB2312" w:cs="Times New Roman"/>
          <w:color w:val="000000"/>
          <w:kern w:val="0"/>
          <w:sz w:val="30"/>
          <w:szCs w:val="30"/>
          <w:u w:val="none" w:color="auto"/>
          <w:lang w:val="en-US" w:eastAsia="zh-CN"/>
        </w:rPr>
        <w:t>1.15万元</w:t>
      </w:r>
      <w:r>
        <w:rPr>
          <w:rFonts w:hint="default" w:ascii="Times New Roman" w:hAnsi="Times New Roman" w:eastAsia="仿宋_GB2312" w:cs="Times New Roman"/>
          <w:color w:val="000000"/>
          <w:kern w:val="0"/>
          <w:sz w:val="30"/>
          <w:szCs w:val="30"/>
          <w:u w:val="none" w:color="auto"/>
        </w:rPr>
        <w:t>、福利费</w:t>
      </w:r>
      <w:r>
        <w:rPr>
          <w:rFonts w:hint="eastAsia" w:eastAsia="仿宋_GB2312" w:cs="Times New Roman"/>
          <w:color w:val="000000"/>
          <w:kern w:val="0"/>
          <w:sz w:val="30"/>
          <w:szCs w:val="30"/>
          <w:u w:val="none" w:color="auto"/>
          <w:lang w:val="en-US" w:eastAsia="zh-CN"/>
        </w:rPr>
        <w:t>0.23万元</w:t>
      </w:r>
      <w:r>
        <w:rPr>
          <w:rFonts w:hint="default" w:ascii="Times New Roman" w:hAnsi="Times New Roman" w:eastAsia="仿宋_GB2312" w:cs="Times New Roman"/>
          <w:color w:val="000000"/>
          <w:kern w:val="0"/>
          <w:sz w:val="30"/>
          <w:szCs w:val="30"/>
          <w:u w:val="none" w:color="auto"/>
        </w:rPr>
        <w:t>、公务用车运行维护费</w:t>
      </w:r>
      <w:r>
        <w:rPr>
          <w:rFonts w:hint="eastAsia" w:eastAsia="仿宋_GB2312" w:cs="Times New Roman"/>
          <w:color w:val="000000"/>
          <w:kern w:val="0"/>
          <w:sz w:val="30"/>
          <w:szCs w:val="30"/>
          <w:u w:val="none" w:color="auto"/>
          <w:lang w:val="en-US" w:eastAsia="zh-CN"/>
        </w:rPr>
        <w:t>1.38万元</w:t>
      </w:r>
      <w:r>
        <w:rPr>
          <w:rFonts w:hint="default" w:ascii="Times New Roman" w:hAnsi="Times New Roman" w:eastAsia="仿宋_GB2312" w:cs="Times New Roman"/>
          <w:color w:val="000000"/>
          <w:kern w:val="0"/>
          <w:sz w:val="30"/>
          <w:szCs w:val="30"/>
          <w:u w:val="none" w:color="auto"/>
        </w:rPr>
        <w:t>、其他交通费用</w:t>
      </w:r>
      <w:r>
        <w:rPr>
          <w:rFonts w:hint="eastAsia" w:eastAsia="仿宋_GB2312" w:cs="Times New Roman"/>
          <w:color w:val="000000"/>
          <w:kern w:val="0"/>
          <w:sz w:val="30"/>
          <w:szCs w:val="30"/>
          <w:u w:val="none" w:color="auto"/>
          <w:lang w:val="en-US" w:eastAsia="zh-CN"/>
        </w:rPr>
        <w:t>10.65万元、房屋建筑物构建3.24万元</w:t>
      </w:r>
      <w:r>
        <w:rPr>
          <w:rFonts w:hint="default" w:ascii="Times New Roman" w:hAnsi="Times New Roman" w:eastAsia="仿宋_GB2312" w:cs="Times New Roman"/>
          <w:color w:val="000000"/>
          <w:kern w:val="0"/>
          <w:sz w:val="30"/>
          <w:szCs w:val="30"/>
          <w:u w:val="none" w:color="auto"/>
        </w:rPr>
        <w:t>。</w:t>
      </w:r>
    </w:p>
    <w:p w14:paraId="7594CD2D">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七、一般公共预算财政拨款项目支出决算情况说明</w:t>
      </w:r>
    </w:p>
    <w:p w14:paraId="192FB457">
      <w:pPr>
        <w:keepNext w:val="0"/>
        <w:keepLines w:val="0"/>
        <w:pageBreakBefore w:val="0"/>
        <w:widowControl/>
        <w:kinsoku/>
        <w:wordWrap/>
        <w:overflowPunct/>
        <w:topLinePunct w:val="0"/>
        <w:autoSpaceDE/>
        <w:autoSpaceDN/>
        <w:bidi w:val="0"/>
        <w:adjustRightInd/>
        <w:snapToGrid/>
        <w:ind w:firstLine="300" w:firstLineChars="100"/>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kern w:val="0"/>
          <w:sz w:val="30"/>
          <w:szCs w:val="30"/>
          <w:u w:val="none" w:color="auto"/>
        </w:rPr>
        <w:t>   </w:t>
      </w:r>
      <w:r>
        <w:rPr>
          <w:rFonts w:hint="default" w:ascii="Times New Roman" w:hAnsi="Times New Roman" w:eastAsia="仿宋_GB2312" w:cs="Times New Roman"/>
          <w:color w:val="000000"/>
          <w:kern w:val="0"/>
          <w:sz w:val="30"/>
          <w:szCs w:val="30"/>
          <w:u w:val="none" w:color="auto"/>
        </w:rPr>
        <w:t xml:space="preserve"> 内蒙古自治区呼伦贝尔市根河市自然资源局 </w:t>
      </w:r>
      <w:r>
        <w:rPr>
          <w:rFonts w:hint="default" w:ascii="Times New Roman" w:hAnsi="Times New Roman" w:eastAsia="times_new_roman" w:cs="Times New Roman"/>
          <w:color w:val="000000"/>
          <w:kern w:val="0"/>
          <w:sz w:val="30"/>
          <w:szCs w:val="30"/>
          <w:u w:val="none" w:color="auto"/>
        </w:rPr>
        <w:t>2024</w:t>
      </w:r>
      <w:r>
        <w:rPr>
          <w:rFonts w:hint="default" w:ascii="Times New Roman" w:hAnsi="Times New Roman" w:eastAsia="仿宋_GB2312" w:cs="Times New Roman"/>
          <w:color w:val="000000"/>
          <w:kern w:val="0"/>
          <w:sz w:val="30"/>
          <w:szCs w:val="30"/>
          <w:u w:val="none" w:color="auto"/>
        </w:rPr>
        <w:t>年度一般公共预算财政拨款项目支出决算</w:t>
      </w:r>
      <w:r>
        <w:rPr>
          <w:rFonts w:hint="default" w:ascii="Times New Roman" w:hAnsi="Times New Roman" w:eastAsia="Times New Roman" w:cs="Times New Roman"/>
          <w:color w:val="000000"/>
          <w:kern w:val="0"/>
          <w:sz w:val="30"/>
          <w:szCs w:val="30"/>
          <w:u w:val="none" w:color="auto"/>
        </w:rPr>
        <w:t xml:space="preserve"> 202.17</w:t>
      </w:r>
      <w:r>
        <w:rPr>
          <w:rFonts w:hint="default" w:ascii="Times New Roman" w:hAnsi="Times New Roman" w:eastAsia="仿宋_GB2312" w:cs="Times New Roman"/>
          <w:color w:val="000000"/>
          <w:kern w:val="0"/>
          <w:sz w:val="30"/>
          <w:szCs w:val="30"/>
          <w:u w:val="none" w:color="auto"/>
        </w:rPr>
        <w:t>万元，其中：</w:t>
      </w:r>
    </w:p>
    <w:p w14:paraId="74833106">
      <w:pPr>
        <w:keepNext w:val="0"/>
        <w:keepLines w:val="0"/>
        <w:pageBreakBefore w:val="0"/>
        <w:widowControl/>
        <w:kinsoku/>
        <w:wordWrap/>
        <w:overflowPunct/>
        <w:topLinePunct w:val="0"/>
        <w:autoSpaceDE/>
        <w:autoSpaceDN/>
        <w:bidi w:val="0"/>
        <w:adjustRightInd/>
        <w:snapToGrid/>
        <w:ind w:firstLine="301" w:firstLineChars="100"/>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b/>
          <w:bCs/>
          <w:color w:val="000000"/>
          <w:kern w:val="0"/>
          <w:sz w:val="30"/>
          <w:szCs w:val="30"/>
          <w:u w:val="none" w:color="auto"/>
        </w:rPr>
        <w:t>（</w:t>
      </w:r>
      <w:r>
        <w:rPr>
          <w:rFonts w:hint="default" w:ascii="Times New Roman" w:hAnsi="Times New Roman" w:eastAsia="仿宋_GB2312" w:cs="Times New Roman"/>
          <w:b/>
          <w:bCs/>
          <w:color w:val="000000"/>
          <w:kern w:val="0"/>
          <w:sz w:val="30"/>
          <w:szCs w:val="30"/>
          <w:u w:val="none" w:color="auto"/>
          <w:lang w:val="en-US" w:eastAsia="zh-CN"/>
        </w:rPr>
        <w:t>一</w:t>
      </w:r>
      <w:r>
        <w:rPr>
          <w:rFonts w:hint="default" w:ascii="Times New Roman" w:hAnsi="Times New Roman" w:eastAsia="仿宋_GB2312" w:cs="Times New Roman"/>
          <w:b/>
          <w:bCs/>
          <w:color w:val="000000"/>
          <w:kern w:val="0"/>
          <w:sz w:val="30"/>
          <w:szCs w:val="30"/>
          <w:u w:val="none" w:color="auto"/>
        </w:rPr>
        <w:t xml:space="preserve">）商品和服务支出 </w:t>
      </w:r>
      <w:r>
        <w:rPr>
          <w:rFonts w:hint="default" w:ascii="Times New Roman" w:hAnsi="Times New Roman" w:eastAsia="仿宋_GB2312" w:cs="Times New Roman"/>
          <w:b w:val="0"/>
          <w:bCs w:val="0"/>
          <w:color w:val="000000"/>
          <w:kern w:val="0"/>
          <w:sz w:val="30"/>
          <w:szCs w:val="30"/>
          <w:u w:val="none" w:color="auto"/>
        </w:rPr>
        <w:t>202.17</w:t>
      </w:r>
      <w:r>
        <w:rPr>
          <w:rFonts w:hint="default" w:ascii="Times New Roman" w:hAnsi="Times New Roman" w:eastAsia="仿宋_GB2312" w:cs="Times New Roman"/>
          <w:b/>
          <w:bCs/>
          <w:color w:val="000000"/>
          <w:kern w:val="0"/>
          <w:sz w:val="30"/>
          <w:szCs w:val="30"/>
          <w:u w:val="none" w:color="auto"/>
        </w:rPr>
        <w:t>万元。</w:t>
      </w:r>
      <w:r>
        <w:rPr>
          <w:rFonts w:hint="default" w:ascii="Times New Roman" w:hAnsi="Times New Roman" w:eastAsia="仿宋_GB2312" w:cs="Times New Roman"/>
          <w:color w:val="000000"/>
          <w:kern w:val="0"/>
          <w:sz w:val="30"/>
          <w:szCs w:val="30"/>
          <w:u w:val="none" w:color="auto"/>
        </w:rPr>
        <w:t>主要包括：委托业务费。</w:t>
      </w:r>
    </w:p>
    <w:p w14:paraId="703D81E2">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八、财政拨款“三公”经费支出决算情况说明</w:t>
      </w:r>
    </w:p>
    <w:p w14:paraId="39294C58">
      <w:pPr>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default" w:ascii="Times New Roman" w:hAnsi="Times New Roman" w:eastAsia="仿宋_GB2312" w:cs="Times New Roman"/>
          <w:color w:val="000000"/>
          <w:kern w:val="0"/>
          <w:sz w:val="28"/>
          <w:szCs w:val="28"/>
          <w:u w:val="none" w:color="auto"/>
        </w:rPr>
        <w:t>（一）财政拨款“三公”经费支出总体情况说明。</w:t>
      </w:r>
    </w:p>
    <w:p w14:paraId="1A6159C0">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kern w:val="0"/>
          <w:sz w:val="30"/>
          <w:szCs w:val="30"/>
          <w:u w:val="none" w:color="auto"/>
        </w:rPr>
        <w:t xml:space="preserve">    </w:t>
      </w:r>
      <w:r>
        <w:rPr>
          <w:rFonts w:hint="default" w:ascii="Times New Roman" w:hAnsi="Times New Roman" w:eastAsia="仿宋_GB2312" w:cs="Times New Roman"/>
          <w:color w:val="000000"/>
          <w:kern w:val="0"/>
          <w:sz w:val="30"/>
          <w:szCs w:val="30"/>
          <w:u w:val="none" w:color="auto"/>
        </w:rPr>
        <w:t>内蒙古自治区呼伦贝尔市根河市自然资源局 </w:t>
      </w:r>
      <w:r>
        <w:rPr>
          <w:rFonts w:hint="default" w:ascii="Times New Roman" w:hAnsi="Times New Roman" w:eastAsia="times_new_roman" w:cs="Times New Roman"/>
          <w:color w:val="000000"/>
          <w:kern w:val="0"/>
          <w:sz w:val="30"/>
          <w:szCs w:val="30"/>
          <w:u w:val="none" w:color="auto"/>
        </w:rPr>
        <w:t>2024</w:t>
      </w:r>
      <w:r>
        <w:rPr>
          <w:rFonts w:hint="default" w:ascii="Times New Roman" w:hAnsi="Times New Roman" w:eastAsia="仿宋_GB2312" w:cs="Times New Roman"/>
          <w:color w:val="000000"/>
          <w:kern w:val="0"/>
          <w:sz w:val="30"/>
          <w:szCs w:val="30"/>
          <w:u w:val="none" w:color="auto"/>
        </w:rPr>
        <w:t>年度财政拨款“三公”经费全年预算</w:t>
      </w:r>
      <w:r>
        <w:rPr>
          <w:rFonts w:hint="default" w:ascii="Times New Roman" w:hAnsi="Times New Roman" w:eastAsia="Times New Roman" w:cs="Times New Roman"/>
          <w:color w:val="000000"/>
          <w:kern w:val="0"/>
          <w:sz w:val="30"/>
          <w:szCs w:val="30"/>
          <w:u w:val="none" w:color="auto"/>
        </w:rPr>
        <w:t xml:space="preserve"> 2.05</w:t>
      </w:r>
      <w:r>
        <w:rPr>
          <w:rFonts w:hint="default" w:ascii="Times New Roman" w:hAnsi="Times New Roman" w:eastAsia="仿宋_GB2312" w:cs="Times New Roman"/>
          <w:color w:val="000000"/>
          <w:kern w:val="0"/>
          <w:sz w:val="30"/>
          <w:szCs w:val="30"/>
          <w:u w:val="none" w:color="auto"/>
        </w:rPr>
        <w:t>万元，支出决算</w:t>
      </w:r>
      <w:r>
        <w:rPr>
          <w:rFonts w:hint="default" w:ascii="Times New Roman" w:hAnsi="Times New Roman" w:eastAsia="Times New Roman" w:cs="Times New Roman"/>
          <w:color w:val="000000"/>
          <w:kern w:val="0"/>
          <w:sz w:val="30"/>
          <w:szCs w:val="30"/>
          <w:u w:val="none" w:color="auto"/>
        </w:rPr>
        <w:t xml:space="preserve"> 2.05</w:t>
      </w:r>
      <w:r>
        <w:rPr>
          <w:rFonts w:hint="default" w:ascii="Times New Roman" w:hAnsi="Times New Roman" w:eastAsia="仿宋_GB2312" w:cs="Times New Roman"/>
          <w:color w:val="000000"/>
          <w:kern w:val="0"/>
          <w:sz w:val="30"/>
          <w:szCs w:val="30"/>
          <w:u w:val="none" w:color="auto"/>
        </w:rPr>
        <w:t>万元，完成预算的</w:t>
      </w:r>
      <w:r>
        <w:rPr>
          <w:rFonts w:hint="default" w:ascii="Times New Roman" w:hAnsi="Times New Roman" w:eastAsia="Times New Roman" w:cs="Times New Roman"/>
          <w:color w:val="000000"/>
          <w:kern w:val="0"/>
          <w:sz w:val="30"/>
          <w:szCs w:val="30"/>
          <w:u w:val="none" w:color="auto"/>
        </w:rPr>
        <w:t xml:space="preserve"> 100.00</w:t>
      </w:r>
      <w:r>
        <w:rPr>
          <w:rFonts w:hint="default" w:ascii="Times New Roman" w:hAnsi="Times New Roman" w:eastAsia="仿宋_GB2312" w:cs="Times New Roman"/>
          <w:color w:val="000000"/>
          <w:kern w:val="0"/>
          <w:sz w:val="30"/>
          <w:szCs w:val="30"/>
          <w:u w:val="none" w:color="auto"/>
        </w:rPr>
        <w:t>%。其中：因公出国（境）费全年预算</w:t>
      </w:r>
      <w:r>
        <w:rPr>
          <w:rFonts w:hint="default" w:ascii="Times New Roman" w:hAnsi="Times New Roman" w:eastAsia="Times New Roman" w:cs="Times New Roman"/>
          <w:color w:val="000000"/>
          <w:kern w:val="0"/>
          <w:sz w:val="30"/>
          <w:szCs w:val="30"/>
          <w:u w:val="none" w:color="auto"/>
        </w:rPr>
        <w:t xml:space="preserve"> 0</w:t>
      </w:r>
      <w:r>
        <w:rPr>
          <w:rFonts w:hint="default" w:ascii="Times New Roman" w:hAnsi="Times New Roman" w:eastAsia="仿宋_GB2312" w:cs="Times New Roman"/>
          <w:color w:val="000000"/>
          <w:kern w:val="0"/>
          <w:sz w:val="30"/>
          <w:szCs w:val="30"/>
          <w:u w:val="none" w:color="auto"/>
        </w:rPr>
        <w:t>万元，支出决算</w:t>
      </w:r>
      <w:r>
        <w:rPr>
          <w:rFonts w:hint="default" w:ascii="Times New Roman" w:hAnsi="Times New Roman" w:eastAsia="Times New Roman" w:cs="Times New Roman"/>
          <w:color w:val="000000"/>
          <w:kern w:val="0"/>
          <w:sz w:val="30"/>
          <w:szCs w:val="30"/>
          <w:u w:val="none" w:color="auto"/>
        </w:rPr>
        <w:t xml:space="preserve"> 0</w:t>
      </w:r>
      <w:r>
        <w:rPr>
          <w:rFonts w:hint="default" w:ascii="Times New Roman" w:hAnsi="Times New Roman" w:eastAsia="仿宋_GB2312" w:cs="Times New Roman"/>
          <w:color w:val="000000"/>
          <w:kern w:val="0"/>
          <w:sz w:val="30"/>
          <w:szCs w:val="30"/>
          <w:u w:val="none" w:color="auto"/>
        </w:rPr>
        <w:t>万元，完成预算的</w:t>
      </w:r>
      <w:r>
        <w:rPr>
          <w:rFonts w:hint="default" w:ascii="Times New Roman" w:hAnsi="Times New Roman" w:eastAsia="Times New Roman" w:cs="Times New Roman"/>
          <w:color w:val="000000"/>
          <w:kern w:val="0"/>
          <w:sz w:val="30"/>
          <w:szCs w:val="30"/>
          <w:u w:val="none" w:color="auto"/>
        </w:rPr>
        <w:t xml:space="preserve"> 0</w:t>
      </w:r>
      <w:r>
        <w:rPr>
          <w:rFonts w:hint="default" w:ascii="Times New Roman" w:hAnsi="Times New Roman" w:eastAsia="仿宋_GB2312" w:cs="Times New Roman"/>
          <w:color w:val="000000"/>
          <w:kern w:val="0"/>
          <w:sz w:val="30"/>
          <w:szCs w:val="30"/>
          <w:u w:val="none" w:color="auto"/>
        </w:rPr>
        <w:t>%；公务用车购置及运行维护费全年预算</w:t>
      </w:r>
      <w:r>
        <w:rPr>
          <w:rFonts w:hint="default" w:ascii="Times New Roman" w:hAnsi="Times New Roman" w:eastAsia="Times New Roman" w:cs="Times New Roman"/>
          <w:color w:val="000000"/>
          <w:kern w:val="0"/>
          <w:sz w:val="30"/>
          <w:szCs w:val="30"/>
          <w:u w:val="none" w:color="auto"/>
        </w:rPr>
        <w:t xml:space="preserve"> 1.38</w:t>
      </w:r>
      <w:r>
        <w:rPr>
          <w:rFonts w:hint="default" w:ascii="Times New Roman" w:hAnsi="Times New Roman" w:eastAsia="仿宋_GB2312" w:cs="Times New Roman"/>
          <w:color w:val="000000"/>
          <w:kern w:val="0"/>
          <w:sz w:val="30"/>
          <w:szCs w:val="30"/>
          <w:u w:val="none" w:color="auto"/>
        </w:rPr>
        <w:t>万元，支出决算</w:t>
      </w:r>
      <w:r>
        <w:rPr>
          <w:rFonts w:hint="default" w:ascii="Times New Roman" w:hAnsi="Times New Roman" w:eastAsia="Times New Roman" w:cs="Times New Roman"/>
          <w:color w:val="000000"/>
          <w:kern w:val="0"/>
          <w:sz w:val="30"/>
          <w:szCs w:val="30"/>
          <w:u w:val="none" w:color="auto"/>
        </w:rPr>
        <w:t xml:space="preserve"> 1.38</w:t>
      </w:r>
      <w:r>
        <w:rPr>
          <w:rFonts w:hint="default" w:ascii="Times New Roman" w:hAnsi="Times New Roman" w:eastAsia="仿宋_GB2312" w:cs="Times New Roman"/>
          <w:color w:val="000000"/>
          <w:kern w:val="0"/>
          <w:sz w:val="30"/>
          <w:szCs w:val="30"/>
          <w:u w:val="none" w:color="auto"/>
        </w:rPr>
        <w:t>万元，完成预算的</w:t>
      </w:r>
      <w:r>
        <w:rPr>
          <w:rFonts w:hint="default" w:ascii="Times New Roman" w:hAnsi="Times New Roman" w:eastAsia="Times New Roman" w:cs="Times New Roman"/>
          <w:color w:val="000000"/>
          <w:kern w:val="0"/>
          <w:sz w:val="30"/>
          <w:szCs w:val="30"/>
          <w:u w:val="none" w:color="auto"/>
        </w:rPr>
        <w:t xml:space="preserve"> 100.00</w:t>
      </w:r>
      <w:r>
        <w:rPr>
          <w:rFonts w:hint="default" w:ascii="Times New Roman" w:hAnsi="Times New Roman" w:eastAsia="仿宋_GB2312" w:cs="Times New Roman"/>
          <w:color w:val="000000"/>
          <w:kern w:val="0"/>
          <w:sz w:val="30"/>
          <w:szCs w:val="30"/>
          <w:u w:val="none" w:color="auto"/>
        </w:rPr>
        <w:t>%；公务接待费全年预算</w:t>
      </w:r>
      <w:r>
        <w:rPr>
          <w:rFonts w:hint="default" w:ascii="Times New Roman" w:hAnsi="Times New Roman" w:eastAsia="Times New Roman" w:cs="Times New Roman"/>
          <w:color w:val="000000"/>
          <w:kern w:val="0"/>
          <w:sz w:val="30"/>
          <w:szCs w:val="30"/>
          <w:u w:val="none" w:color="auto"/>
        </w:rPr>
        <w:t xml:space="preserve"> 0.67</w:t>
      </w:r>
      <w:r>
        <w:rPr>
          <w:rFonts w:hint="default" w:ascii="Times New Roman" w:hAnsi="Times New Roman" w:eastAsia="仿宋_GB2312" w:cs="Times New Roman"/>
          <w:color w:val="000000"/>
          <w:kern w:val="0"/>
          <w:sz w:val="30"/>
          <w:szCs w:val="30"/>
          <w:u w:val="none" w:color="auto"/>
        </w:rPr>
        <w:t>万元，支出决算</w:t>
      </w:r>
      <w:r>
        <w:rPr>
          <w:rFonts w:hint="default" w:ascii="Times New Roman" w:hAnsi="Times New Roman" w:eastAsia="Times New Roman" w:cs="Times New Roman"/>
          <w:color w:val="000000"/>
          <w:kern w:val="0"/>
          <w:sz w:val="30"/>
          <w:szCs w:val="30"/>
          <w:u w:val="none" w:color="auto"/>
        </w:rPr>
        <w:t xml:space="preserve"> 0.67</w:t>
      </w:r>
      <w:r>
        <w:rPr>
          <w:rFonts w:hint="default" w:ascii="Times New Roman" w:hAnsi="Times New Roman" w:eastAsia="仿宋_GB2312" w:cs="Times New Roman"/>
          <w:color w:val="000000"/>
          <w:kern w:val="0"/>
          <w:sz w:val="30"/>
          <w:szCs w:val="30"/>
          <w:u w:val="none" w:color="auto"/>
        </w:rPr>
        <w:t>万元，完成预算的</w:t>
      </w:r>
      <w:r>
        <w:rPr>
          <w:rFonts w:hint="default" w:ascii="Times New Roman" w:hAnsi="Times New Roman" w:eastAsia="Times New Roman" w:cs="Times New Roman"/>
          <w:color w:val="000000"/>
          <w:kern w:val="0"/>
          <w:sz w:val="30"/>
          <w:szCs w:val="30"/>
          <w:u w:val="none" w:color="auto"/>
        </w:rPr>
        <w:t xml:space="preserve"> 100.00</w:t>
      </w:r>
      <w:r>
        <w:rPr>
          <w:rFonts w:hint="default" w:ascii="Times New Roman" w:hAnsi="Times New Roman" w:eastAsia="仿宋_GB2312" w:cs="Times New Roman"/>
          <w:color w:val="000000"/>
          <w:kern w:val="0"/>
          <w:sz w:val="30"/>
          <w:szCs w:val="30"/>
          <w:u w:val="none" w:color="auto"/>
        </w:rPr>
        <w:t>%。2024年度一般公共预算财政拨款“三公”经费全年预算</w:t>
      </w:r>
      <w:r>
        <w:rPr>
          <w:rFonts w:hint="default" w:ascii="Times New Roman" w:hAnsi="Times New Roman" w:eastAsia="Times New Roman" w:cs="Times New Roman"/>
          <w:color w:val="000000"/>
          <w:kern w:val="0"/>
          <w:sz w:val="30"/>
          <w:szCs w:val="30"/>
          <w:u w:val="none" w:color="auto"/>
        </w:rPr>
        <w:t xml:space="preserve"> 2.05</w:t>
      </w:r>
      <w:r>
        <w:rPr>
          <w:rFonts w:hint="default" w:ascii="Times New Roman" w:hAnsi="Times New Roman" w:eastAsia="仿宋_GB2312" w:cs="Times New Roman"/>
          <w:color w:val="000000"/>
          <w:kern w:val="0"/>
          <w:sz w:val="30"/>
          <w:szCs w:val="30"/>
          <w:u w:val="none" w:color="auto"/>
        </w:rPr>
        <w:t>万元，支出决算</w:t>
      </w:r>
      <w:r>
        <w:rPr>
          <w:rFonts w:hint="default" w:ascii="Times New Roman" w:hAnsi="Times New Roman" w:eastAsia="Times New Roman" w:cs="Times New Roman"/>
          <w:color w:val="000000"/>
          <w:kern w:val="0"/>
          <w:sz w:val="30"/>
          <w:szCs w:val="30"/>
          <w:u w:val="none" w:color="auto"/>
        </w:rPr>
        <w:t xml:space="preserve"> 2.05</w:t>
      </w:r>
      <w:r>
        <w:rPr>
          <w:rFonts w:hint="default" w:ascii="Times New Roman" w:hAnsi="Times New Roman" w:eastAsia="仿宋_GB2312" w:cs="Times New Roman"/>
          <w:color w:val="000000"/>
          <w:kern w:val="0"/>
          <w:sz w:val="30"/>
          <w:szCs w:val="30"/>
          <w:u w:val="none" w:color="auto"/>
        </w:rPr>
        <w:t>万元。</w:t>
      </w:r>
    </w:p>
    <w:p w14:paraId="3C45ACB9">
      <w:pPr>
        <w:keepNext w:val="0"/>
        <w:keepLines w:val="0"/>
        <w:pageBreakBefore w:val="0"/>
        <w:widowControl/>
        <w:kinsoku/>
        <w:wordWrap/>
        <w:overflowPunct/>
        <w:topLinePunct w:val="0"/>
        <w:autoSpaceDE/>
        <w:autoSpaceDN/>
        <w:bidi w:val="0"/>
        <w:adjustRightInd/>
        <w:snapToGrid/>
        <w:spacing w:before="240" w:after="240"/>
        <w:jc w:val="left"/>
        <w:textAlignment w:val="auto"/>
        <w:rPr>
          <w:rFonts w:hint="default" w:ascii="Times New Roman" w:hAnsi="Times New Roman" w:eastAsia="仿宋_GB2312" w:cs="Times New Roman"/>
          <w:color w:val="000000"/>
          <w:kern w:val="0"/>
          <w:sz w:val="28"/>
          <w:szCs w:val="28"/>
          <w:u w:val="none" w:color="auto"/>
        </w:rPr>
      </w:pPr>
      <w:r>
        <w:rPr>
          <w:rFonts w:ascii="kai_ti_gb2312" w:hAnsi="kai_ti_gb2312" w:eastAsia="kai_ti_gb2312" w:cs="kai_ti_gb2312"/>
          <w:b/>
          <w:bCs/>
          <w:kern w:val="0"/>
          <w:sz w:val="27"/>
          <w:szCs w:val="27"/>
        </w:rPr>
        <w:t xml:space="preserve">    </w:t>
      </w:r>
      <w:r>
        <w:rPr>
          <w:rFonts w:hint="default" w:ascii="Times New Roman" w:hAnsi="Times New Roman" w:eastAsia="仿宋_GB2312" w:cs="Times New Roman"/>
          <w:color w:val="000000"/>
          <w:kern w:val="0"/>
          <w:sz w:val="28"/>
          <w:szCs w:val="28"/>
          <w:u w:val="none" w:color="auto"/>
        </w:rPr>
        <w:t>（二）财政拨款“三公”经费支出具体情况说明。</w:t>
      </w:r>
    </w:p>
    <w:p w14:paraId="77CD070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kern w:val="0"/>
          <w:sz w:val="30"/>
          <w:szCs w:val="30"/>
        </w:rPr>
        <w:t> </w:t>
      </w:r>
      <w:r>
        <w:rPr>
          <w:rFonts w:hint="default" w:ascii="Times New Roman" w:hAnsi="Times New Roman" w:eastAsia="仿宋_GB2312" w:cs="Times New Roman"/>
          <w:kern w:val="0"/>
          <w:sz w:val="30"/>
          <w:szCs w:val="30"/>
          <w:u w:val="none" w:color="auto"/>
        </w:rPr>
        <w:t xml:space="preserve">   </w:t>
      </w:r>
      <w:r>
        <w:rPr>
          <w:rFonts w:hint="default" w:ascii="Times New Roman" w:hAnsi="Times New Roman" w:eastAsia="仿宋_GB2312" w:cs="Times New Roman"/>
          <w:color w:val="000000"/>
          <w:kern w:val="0"/>
          <w:sz w:val="30"/>
          <w:szCs w:val="30"/>
          <w:u w:val="none" w:color="auto"/>
        </w:rPr>
        <w:t>内蒙古自治区呼伦贝尔市根河市自然资源局 </w:t>
      </w:r>
      <w:r>
        <w:rPr>
          <w:rFonts w:hint="default" w:ascii="Times New Roman" w:hAnsi="Times New Roman" w:eastAsia="times_new_roman" w:cs="Times New Roman"/>
          <w:color w:val="000000"/>
          <w:kern w:val="0"/>
          <w:sz w:val="30"/>
          <w:szCs w:val="30"/>
          <w:u w:val="none" w:color="auto"/>
        </w:rPr>
        <w:t>2024</w:t>
      </w:r>
      <w:r>
        <w:rPr>
          <w:rFonts w:hint="default" w:ascii="Times New Roman" w:hAnsi="Times New Roman" w:eastAsia="仿宋_GB2312" w:cs="Times New Roman"/>
          <w:color w:val="000000"/>
          <w:kern w:val="0"/>
          <w:sz w:val="30"/>
          <w:szCs w:val="30"/>
          <w:u w:val="none" w:color="auto"/>
        </w:rPr>
        <w:t>年度财政拨款“三公”经费支出</w:t>
      </w:r>
      <w:r>
        <w:rPr>
          <w:rFonts w:hint="default" w:ascii="Times New Roman" w:hAnsi="Times New Roman" w:eastAsia="Times New Roman" w:cs="Times New Roman"/>
          <w:color w:val="000000"/>
          <w:kern w:val="0"/>
          <w:sz w:val="30"/>
          <w:szCs w:val="30"/>
          <w:u w:val="none" w:color="auto"/>
        </w:rPr>
        <w:t xml:space="preserve"> 2.05</w:t>
      </w:r>
      <w:r>
        <w:rPr>
          <w:rFonts w:hint="default" w:ascii="Times New Roman" w:hAnsi="Times New Roman" w:eastAsia="仿宋_GB2312" w:cs="Times New Roman"/>
          <w:color w:val="000000"/>
          <w:kern w:val="0"/>
          <w:sz w:val="30"/>
          <w:szCs w:val="30"/>
          <w:u w:val="none" w:color="auto"/>
        </w:rPr>
        <w:t>万元。因公出国（境）费支出</w:t>
      </w:r>
      <w:r>
        <w:rPr>
          <w:rFonts w:hint="default" w:ascii="Times New Roman" w:hAnsi="Times New Roman" w:eastAsia="Times New Roman" w:cs="Times New Roman"/>
          <w:color w:val="000000"/>
          <w:kern w:val="0"/>
          <w:sz w:val="30"/>
          <w:szCs w:val="30"/>
          <w:u w:val="none" w:color="auto"/>
        </w:rPr>
        <w:t xml:space="preserve"> 0</w:t>
      </w:r>
      <w:r>
        <w:rPr>
          <w:rFonts w:hint="default" w:ascii="Times New Roman" w:hAnsi="Times New Roman" w:eastAsia="仿宋_GB2312" w:cs="Times New Roman"/>
          <w:color w:val="000000"/>
          <w:kern w:val="0"/>
          <w:sz w:val="30"/>
          <w:szCs w:val="30"/>
          <w:u w:val="none" w:color="auto"/>
        </w:rPr>
        <w:t>万元，占</w:t>
      </w:r>
      <w:r>
        <w:rPr>
          <w:rFonts w:hint="default" w:ascii="Times New Roman" w:hAnsi="Times New Roman" w:eastAsia="Times New Roman" w:cs="Times New Roman"/>
          <w:color w:val="000000"/>
          <w:kern w:val="0"/>
          <w:sz w:val="30"/>
          <w:szCs w:val="30"/>
          <w:u w:val="none" w:color="auto"/>
        </w:rPr>
        <w:t xml:space="preserve"> 0</w:t>
      </w:r>
      <w:r>
        <w:rPr>
          <w:rFonts w:hint="default" w:ascii="Times New Roman" w:hAnsi="Times New Roman" w:eastAsia="仿宋_GB2312" w:cs="Times New Roman"/>
          <w:color w:val="000000"/>
          <w:kern w:val="0"/>
          <w:sz w:val="30"/>
          <w:szCs w:val="30"/>
          <w:u w:val="none" w:color="auto"/>
        </w:rPr>
        <w:t>%；公务用车购置及运行维护费支出</w:t>
      </w:r>
      <w:r>
        <w:rPr>
          <w:rFonts w:hint="default" w:ascii="Times New Roman" w:hAnsi="Times New Roman" w:eastAsia="Times New Roman" w:cs="Times New Roman"/>
          <w:color w:val="000000"/>
          <w:kern w:val="0"/>
          <w:sz w:val="30"/>
          <w:szCs w:val="30"/>
          <w:u w:val="none" w:color="auto"/>
        </w:rPr>
        <w:t xml:space="preserve"> 1.38</w:t>
      </w:r>
      <w:r>
        <w:rPr>
          <w:rFonts w:hint="default" w:ascii="Times New Roman" w:hAnsi="Times New Roman" w:eastAsia="仿宋_GB2312" w:cs="Times New Roman"/>
          <w:color w:val="000000"/>
          <w:kern w:val="0"/>
          <w:sz w:val="30"/>
          <w:szCs w:val="30"/>
          <w:u w:val="none" w:color="auto"/>
        </w:rPr>
        <w:t>万元，占</w:t>
      </w:r>
      <w:r>
        <w:rPr>
          <w:rFonts w:hint="default" w:ascii="Times New Roman" w:hAnsi="Times New Roman" w:eastAsia="Times New Roman" w:cs="Times New Roman"/>
          <w:color w:val="000000"/>
          <w:kern w:val="0"/>
          <w:sz w:val="30"/>
          <w:szCs w:val="30"/>
          <w:u w:val="none" w:color="auto"/>
        </w:rPr>
        <w:t xml:space="preserve"> 67.32</w:t>
      </w:r>
      <w:r>
        <w:rPr>
          <w:rFonts w:hint="default" w:ascii="Times New Roman" w:hAnsi="Times New Roman" w:eastAsia="仿宋_GB2312" w:cs="Times New Roman"/>
          <w:color w:val="000000"/>
          <w:kern w:val="0"/>
          <w:sz w:val="30"/>
          <w:szCs w:val="30"/>
          <w:u w:val="none" w:color="auto"/>
        </w:rPr>
        <w:t>%；公务接待费支出</w:t>
      </w:r>
      <w:r>
        <w:rPr>
          <w:rFonts w:hint="default" w:ascii="Times New Roman" w:hAnsi="Times New Roman" w:eastAsia="Times New Roman" w:cs="Times New Roman"/>
          <w:color w:val="000000"/>
          <w:kern w:val="0"/>
          <w:sz w:val="30"/>
          <w:szCs w:val="30"/>
          <w:u w:val="none" w:color="auto"/>
        </w:rPr>
        <w:t xml:space="preserve"> 0.67</w:t>
      </w:r>
      <w:r>
        <w:rPr>
          <w:rFonts w:hint="default" w:ascii="Times New Roman" w:hAnsi="Times New Roman" w:eastAsia="仿宋_GB2312" w:cs="Times New Roman"/>
          <w:color w:val="000000"/>
          <w:kern w:val="0"/>
          <w:sz w:val="30"/>
          <w:szCs w:val="30"/>
          <w:u w:val="none" w:color="auto"/>
        </w:rPr>
        <w:t>万元，占</w:t>
      </w:r>
      <w:r>
        <w:rPr>
          <w:rFonts w:hint="default" w:ascii="Times New Roman" w:hAnsi="Times New Roman" w:eastAsia="Times New Roman" w:cs="Times New Roman"/>
          <w:color w:val="000000"/>
          <w:kern w:val="0"/>
          <w:sz w:val="30"/>
          <w:szCs w:val="30"/>
          <w:u w:val="none" w:color="auto"/>
        </w:rPr>
        <w:t xml:space="preserve"> 32.68</w:t>
      </w:r>
      <w:r>
        <w:rPr>
          <w:rFonts w:hint="default" w:ascii="Times New Roman" w:hAnsi="Times New Roman" w:eastAsia="仿宋_GB2312" w:cs="Times New Roman"/>
          <w:color w:val="000000"/>
          <w:kern w:val="0"/>
          <w:sz w:val="30"/>
          <w:szCs w:val="30"/>
          <w:u w:val="none" w:color="auto"/>
        </w:rPr>
        <w:t>%。其中：</w:t>
      </w:r>
    </w:p>
    <w:p w14:paraId="321968B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Times New Roman" w:cs="Times New Roman"/>
          <w:kern w:val="0"/>
          <w:sz w:val="30"/>
          <w:szCs w:val="30"/>
          <w:u w:val="none" w:color="auto"/>
        </w:rPr>
      </w:pPr>
      <w:r>
        <w:rPr>
          <w:rFonts w:hint="default" w:ascii="Times New Roman" w:hAnsi="Times New Roman" w:eastAsia="仿宋_GB2312" w:cs="Times New Roman"/>
          <w:color w:val="000000"/>
          <w:kern w:val="0"/>
          <w:sz w:val="30"/>
          <w:szCs w:val="30"/>
          <w:u w:val="none" w:color="auto"/>
        </w:rPr>
        <w:t>   </w:t>
      </w:r>
      <w:r>
        <w:rPr>
          <w:rFonts w:hint="eastAsia" w:eastAsia="仿宋_GB2312" w:cs="Times New Roman"/>
          <w:color w:val="000000"/>
          <w:kern w:val="0"/>
          <w:sz w:val="30"/>
          <w:szCs w:val="30"/>
          <w:u w:val="none" w:color="auto"/>
          <w:lang w:val="en-US" w:eastAsia="zh-CN"/>
        </w:rPr>
        <w:t xml:space="preserve">  </w:t>
      </w:r>
      <w:r>
        <w:rPr>
          <w:rFonts w:hint="default" w:ascii="Times New Roman" w:hAnsi="Times New Roman" w:eastAsia="仿宋_GB2312" w:cs="Times New Roman"/>
          <w:color w:val="000000"/>
          <w:kern w:val="0"/>
          <w:sz w:val="30"/>
          <w:szCs w:val="30"/>
          <w:u w:val="none" w:color="auto"/>
        </w:rPr>
        <w:t> </w:t>
      </w:r>
      <w:r>
        <w:rPr>
          <w:rFonts w:hint="default" w:ascii="Times New Roman" w:hAnsi="Times New Roman" w:eastAsia="times_new_roman" w:cs="Times New Roman"/>
          <w:color w:val="000000"/>
          <w:kern w:val="0"/>
          <w:sz w:val="30"/>
          <w:szCs w:val="30"/>
          <w:u w:val="none" w:color="auto"/>
        </w:rPr>
        <w:t>1.</w:t>
      </w:r>
      <w:r>
        <w:rPr>
          <w:rFonts w:hint="eastAsia" w:eastAsia="宋体" w:cs="Times New Roman"/>
          <w:color w:val="000000"/>
          <w:kern w:val="0"/>
          <w:sz w:val="30"/>
          <w:szCs w:val="30"/>
          <w:u w:val="none" w:color="auto"/>
          <w:lang w:val="en-US" w:eastAsia="zh-CN"/>
        </w:rPr>
        <w:t xml:space="preserve"> </w:t>
      </w:r>
      <w:r>
        <w:rPr>
          <w:rFonts w:hint="default" w:ascii="Times New Roman" w:hAnsi="Times New Roman" w:eastAsia="仿宋_GB2312" w:cs="Times New Roman"/>
          <w:color w:val="000000"/>
          <w:kern w:val="0"/>
          <w:sz w:val="30"/>
          <w:szCs w:val="30"/>
          <w:u w:val="none" w:color="auto"/>
        </w:rPr>
        <w:t>因公出国（境）费支出</w:t>
      </w:r>
      <w:r>
        <w:rPr>
          <w:rFonts w:hint="default" w:ascii="Times New Roman" w:hAnsi="Times New Roman" w:eastAsia="Times New Roman" w:cs="Times New Roman"/>
          <w:color w:val="000000"/>
          <w:kern w:val="0"/>
          <w:sz w:val="30"/>
          <w:szCs w:val="30"/>
          <w:u w:val="none" w:color="auto"/>
        </w:rPr>
        <w:t xml:space="preserve"> 0</w:t>
      </w:r>
      <w:r>
        <w:rPr>
          <w:rFonts w:hint="default" w:ascii="Times New Roman" w:hAnsi="Times New Roman" w:eastAsia="仿宋_GB2312" w:cs="Times New Roman"/>
          <w:color w:val="000000"/>
          <w:kern w:val="0"/>
          <w:sz w:val="30"/>
          <w:szCs w:val="30"/>
          <w:u w:val="none" w:color="auto"/>
        </w:rPr>
        <w:t>万元，全年出国（境）团组</w:t>
      </w:r>
      <w:r>
        <w:rPr>
          <w:rFonts w:hint="default" w:ascii="Times New Roman" w:hAnsi="Times New Roman" w:eastAsia="Times New Roman" w:cs="Times New Roman"/>
          <w:color w:val="000000"/>
          <w:kern w:val="0"/>
          <w:sz w:val="30"/>
          <w:szCs w:val="30"/>
          <w:u w:val="none" w:color="auto"/>
        </w:rPr>
        <w:t xml:space="preserve">0 </w:t>
      </w:r>
      <w:r>
        <w:rPr>
          <w:rFonts w:hint="default" w:ascii="Times New Roman" w:hAnsi="Times New Roman" w:eastAsia="仿宋_GB2312" w:cs="Times New Roman"/>
          <w:color w:val="000000"/>
          <w:kern w:val="0"/>
          <w:sz w:val="30"/>
          <w:szCs w:val="30"/>
          <w:u w:val="none" w:color="auto"/>
        </w:rPr>
        <w:t>个，累计</w:t>
      </w:r>
      <w:r>
        <w:rPr>
          <w:rFonts w:hint="default" w:ascii="Times New Roman" w:hAnsi="Times New Roman" w:eastAsia="Times New Roman" w:cs="Times New Roman"/>
          <w:color w:val="000000"/>
          <w:kern w:val="0"/>
          <w:sz w:val="30"/>
          <w:szCs w:val="30"/>
          <w:u w:val="none" w:color="auto"/>
        </w:rPr>
        <w:t xml:space="preserve">0 </w:t>
      </w:r>
      <w:r>
        <w:rPr>
          <w:rFonts w:hint="default" w:ascii="Times New Roman" w:hAnsi="Times New Roman" w:eastAsia="仿宋_GB2312" w:cs="Times New Roman"/>
          <w:color w:val="000000"/>
          <w:kern w:val="0"/>
          <w:sz w:val="30"/>
          <w:szCs w:val="30"/>
          <w:u w:val="none" w:color="auto"/>
        </w:rPr>
        <w:t>人次。与上年决算相比，增加</w:t>
      </w:r>
      <w:r>
        <w:rPr>
          <w:rFonts w:hint="default" w:ascii="Times New Roman" w:hAnsi="Times New Roman" w:eastAsia="Times New Roman" w:cs="Times New Roman"/>
          <w:color w:val="000000"/>
          <w:kern w:val="0"/>
          <w:sz w:val="30"/>
          <w:szCs w:val="30"/>
          <w:u w:val="none" w:color="auto"/>
        </w:rPr>
        <w:t>0</w:t>
      </w:r>
      <w:r>
        <w:rPr>
          <w:rFonts w:hint="default" w:ascii="Times New Roman" w:hAnsi="Times New Roman" w:eastAsia="仿宋_GB2312" w:cs="Times New Roman"/>
          <w:color w:val="000000"/>
          <w:kern w:val="0"/>
          <w:sz w:val="30"/>
          <w:szCs w:val="30"/>
          <w:u w:val="none" w:color="auto"/>
        </w:rPr>
        <w:t>万元，增长</w:t>
      </w:r>
      <w:r>
        <w:rPr>
          <w:rFonts w:hint="default" w:ascii="Times New Roman" w:hAnsi="Times New Roman" w:eastAsia="Times New Roman" w:cs="Times New Roman"/>
          <w:color w:val="000000"/>
          <w:kern w:val="0"/>
          <w:sz w:val="30"/>
          <w:szCs w:val="30"/>
          <w:u w:val="none" w:color="auto"/>
        </w:rPr>
        <w:t>0</w:t>
      </w:r>
      <w:r>
        <w:rPr>
          <w:rFonts w:hint="default" w:ascii="Times New Roman" w:hAnsi="Times New Roman" w:eastAsia="仿宋_GB2312" w:cs="Times New Roman"/>
          <w:color w:val="000000"/>
          <w:kern w:val="0"/>
          <w:sz w:val="30"/>
          <w:szCs w:val="30"/>
          <w:u w:val="none" w:color="auto"/>
        </w:rPr>
        <w:t>%，变动原因：与上年相比无变化。</w:t>
      </w:r>
    </w:p>
    <w:p w14:paraId="25790ABB">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times_new_roman" w:cs="Times New Roman"/>
          <w:color w:val="000000"/>
          <w:kern w:val="0"/>
          <w:sz w:val="30"/>
          <w:szCs w:val="30"/>
          <w:u w:val="none" w:color="auto"/>
        </w:rPr>
        <w:t>       </w:t>
      </w:r>
      <w:r>
        <w:rPr>
          <w:rFonts w:hint="default" w:ascii="Times New Roman" w:hAnsi="Times New Roman" w:eastAsia="仿宋_GB2312" w:cs="Times New Roman"/>
          <w:color w:val="000000"/>
          <w:kern w:val="0"/>
          <w:sz w:val="30"/>
          <w:szCs w:val="30"/>
          <w:u w:val="none" w:color="auto"/>
        </w:rPr>
        <w:t xml:space="preserve"> 2.</w:t>
      </w:r>
      <w:r>
        <w:rPr>
          <w:rFonts w:hint="eastAsia" w:ascii="Times New Roman" w:hAnsi="Times New Roman" w:eastAsia="仿宋_GB2312" w:cs="Times New Roman"/>
          <w:color w:val="000000"/>
          <w:kern w:val="0"/>
          <w:sz w:val="30"/>
          <w:szCs w:val="30"/>
          <w:u w:val="none" w:color="auto"/>
          <w:lang w:val="en-US" w:eastAsia="zh-CN"/>
        </w:rPr>
        <w:t xml:space="preserve"> </w:t>
      </w:r>
      <w:r>
        <w:rPr>
          <w:rFonts w:hint="default" w:ascii="Times New Roman" w:hAnsi="Times New Roman" w:eastAsia="仿宋_GB2312" w:cs="Times New Roman"/>
          <w:color w:val="000000"/>
          <w:kern w:val="0"/>
          <w:sz w:val="30"/>
          <w:szCs w:val="30"/>
          <w:u w:val="none" w:color="auto"/>
        </w:rPr>
        <w:t>公务用车购置及运行维护费支出 1.38万元。其中：</w:t>
      </w:r>
    </w:p>
    <w:p w14:paraId="6497E214">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（1）公务用车购置支出 0万元。本年度使用财政拨款购置公务用车0 辆。与上年决算相比，增加0万元，增长0%，变动原因：与上年相比无变化。</w:t>
      </w:r>
    </w:p>
    <w:p w14:paraId="3532E79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（2）公务用车运行维护费支出 1.38万元。公务用车运行维护费主要用于按规定保留的公务用车的燃料费、维修费、过桥过路费、保险费、安全奖励费用等支出。截至2024年12月31日，使用财政拨款开支的公务用车保有量为1 辆。与上年决算相比，增加0万元，增长0%，变动原因：与上年相比无变化。</w:t>
      </w:r>
    </w:p>
    <w:p w14:paraId="6BCE9FB7">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3.</w:t>
      </w:r>
      <w:r>
        <w:rPr>
          <w:rFonts w:hint="eastAsia" w:ascii="Times New Roman" w:hAnsi="Times New Roman" w:eastAsia="仿宋_GB2312" w:cs="Times New Roman"/>
          <w:color w:val="000000"/>
          <w:kern w:val="0"/>
          <w:sz w:val="30"/>
          <w:szCs w:val="30"/>
          <w:u w:val="none" w:color="auto"/>
          <w:lang w:val="en-US" w:eastAsia="zh-CN"/>
        </w:rPr>
        <w:t xml:space="preserve"> </w:t>
      </w:r>
      <w:r>
        <w:rPr>
          <w:rFonts w:hint="default" w:ascii="Times New Roman" w:hAnsi="Times New Roman" w:eastAsia="仿宋_GB2312" w:cs="Times New Roman"/>
          <w:color w:val="000000"/>
          <w:kern w:val="0"/>
          <w:sz w:val="30"/>
          <w:szCs w:val="30"/>
          <w:u w:val="none" w:color="auto"/>
        </w:rPr>
        <w:t>公务接待费支出 0.67万元。其中：国内公务接待支出 0.67万元，接待15 批次，137 人次，开支内容：主要用于接待上级工作人员及本部门现场调研及方案汇报工作；国（境）外公务接待支出 0万元，接待0 批次，0 人次。与上年决算相比，增加0万元，增长0%，变动原因：与上年相比无变化。</w:t>
      </w:r>
    </w:p>
    <w:p w14:paraId="70A8FC6F">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九、政府性基金预算财政拨款支出决算情况说明</w:t>
      </w:r>
    </w:p>
    <w:p w14:paraId="4DDE40CB">
      <w:pPr>
        <w:keepNext w:val="0"/>
        <w:keepLines w:val="0"/>
        <w:pageBreakBefore w:val="0"/>
        <w:widowControl/>
        <w:kinsoku/>
        <w:wordWrap/>
        <w:overflowPunct/>
        <w:topLinePunct w:val="0"/>
        <w:autoSpaceDE/>
        <w:autoSpaceDN/>
        <w:bidi w:val="0"/>
        <w:adjustRightInd/>
        <w:snapToGrid/>
        <w:textAlignment w:val="auto"/>
        <w:rPr>
          <w:rFonts w:ascii="Times New Roman" w:hAnsi="Times New Roman" w:eastAsia="Times New Roman" w:cs="Times New Roman"/>
          <w:kern w:val="0"/>
          <w:sz w:val="24"/>
        </w:rPr>
      </w:pPr>
      <w:r>
        <w:rPr>
          <w:rFonts w:hint="default" w:ascii="Times New Roman" w:hAnsi="Times New Roman" w:eastAsia="仿宋_GB2312" w:cs="Times New Roman"/>
          <w:color w:val="000000"/>
          <w:kern w:val="0"/>
          <w:sz w:val="30"/>
          <w:szCs w:val="30"/>
          <w:u w:val="none" w:color="auto"/>
        </w:rPr>
        <w:t>    内蒙古自治区呼伦贝尔市根河市自然资源局 2024年度政府性基金预算财政拨款支出决算 0万元。与上年决算相比，减少89.99万元，下降100.00%，变动原因：本年无政府性基金预算财政拨款收、支、余</w:t>
      </w:r>
      <w:r>
        <w:rPr>
          <w:rFonts w:hint="eastAsia" w:ascii="Times New Roman" w:hAnsi="Times New Roman" w:eastAsia="仿宋_GB2312" w:cs="Times New Roman"/>
          <w:color w:val="000000"/>
          <w:kern w:val="0"/>
          <w:sz w:val="30"/>
          <w:szCs w:val="30"/>
          <w:u w:val="none" w:color="auto"/>
          <w:lang w:eastAsia="zh-CN"/>
        </w:rPr>
        <w:t>。</w:t>
      </w:r>
    </w:p>
    <w:p w14:paraId="6D4AB4CA">
      <w:pPr>
        <w:keepNext w:val="0"/>
        <w:keepLines w:val="0"/>
        <w:pageBreakBefore w:val="0"/>
        <w:widowControl/>
        <w:kinsoku/>
        <w:wordWrap/>
        <w:overflowPunct/>
        <w:topLinePunct w:val="0"/>
        <w:autoSpaceDE/>
        <w:autoSpaceDN/>
        <w:bidi w:val="0"/>
        <w:adjustRightInd/>
        <w:snapToGrid/>
        <w:spacing w:before="240"/>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十、国有资本经营预算财政拨款支出决算情况说明</w:t>
      </w:r>
    </w:p>
    <w:p w14:paraId="07D8A629">
      <w:pPr>
        <w:widowControl/>
        <w:spacing w:before="240" w:after="240"/>
        <w:ind w:firstLine="464"/>
        <w:rPr>
          <w:rFonts w:hint="default" w:ascii="Times New Roman" w:hAnsi="Times New Roman" w:eastAsia="仿宋_GB2312" w:cs="Times New Roman"/>
          <w:color w:val="000000"/>
          <w:kern w:val="0"/>
          <w:sz w:val="30"/>
          <w:szCs w:val="30"/>
          <w:u w:val="none" w:color="auto"/>
          <w:lang w:eastAsia="zh-CN"/>
        </w:rPr>
      </w:pPr>
      <w:r>
        <w:rPr>
          <w:rFonts w:hint="default" w:ascii="Times New Roman" w:hAnsi="Times New Roman" w:eastAsia="仿宋_GB2312" w:cs="Times New Roman"/>
          <w:color w:val="000000"/>
          <w:kern w:val="0"/>
          <w:sz w:val="30"/>
          <w:szCs w:val="30"/>
          <w:u w:val="none" w:color="auto"/>
        </w:rPr>
        <w:t>内蒙古自治区呼伦贝尔市根河市自然资源局 </w:t>
      </w:r>
      <w:r>
        <w:rPr>
          <w:rFonts w:hint="default" w:ascii="Times New Roman" w:hAnsi="Times New Roman" w:eastAsia="times_new_roman" w:cs="Times New Roman"/>
          <w:color w:val="000000"/>
          <w:kern w:val="0"/>
          <w:sz w:val="30"/>
          <w:szCs w:val="30"/>
          <w:u w:val="none" w:color="auto"/>
        </w:rPr>
        <w:t>2024</w:t>
      </w:r>
      <w:r>
        <w:rPr>
          <w:rFonts w:hint="default" w:ascii="Times New Roman" w:hAnsi="Times New Roman" w:eastAsia="仿宋_GB2312" w:cs="Times New Roman"/>
          <w:color w:val="000000"/>
          <w:kern w:val="0"/>
          <w:sz w:val="30"/>
          <w:szCs w:val="30"/>
          <w:u w:val="none" w:color="auto"/>
        </w:rPr>
        <w:t>年度国有资本经营预算财政拨款支出决算</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万元。与上年决算相比，增加</w:t>
      </w:r>
      <w:r>
        <w:rPr>
          <w:rFonts w:hint="default" w:ascii="Times New Roman" w:hAnsi="Times New Roman" w:eastAsia="Times New Roman" w:cs="Times New Roman"/>
          <w:color w:val="000000"/>
          <w:kern w:val="0"/>
          <w:sz w:val="30"/>
          <w:szCs w:val="30"/>
          <w:u w:val="none" w:color="auto"/>
        </w:rPr>
        <w:t>0</w:t>
      </w:r>
      <w:r>
        <w:rPr>
          <w:rFonts w:hint="default" w:ascii="Times New Roman" w:hAnsi="Times New Roman" w:eastAsia="仿宋_GB2312" w:cs="Times New Roman"/>
          <w:color w:val="000000"/>
          <w:kern w:val="0"/>
          <w:sz w:val="30"/>
          <w:szCs w:val="30"/>
          <w:u w:val="none" w:color="auto"/>
        </w:rPr>
        <w:t>万元，增长</w:t>
      </w:r>
      <w:r>
        <w:rPr>
          <w:rFonts w:hint="default" w:ascii="Times New Roman" w:hAnsi="Times New Roman" w:eastAsia="Times New Roman" w:cs="Times New Roman"/>
          <w:color w:val="000000"/>
          <w:kern w:val="0"/>
          <w:sz w:val="30"/>
          <w:szCs w:val="30"/>
          <w:u w:val="none" w:color="auto"/>
        </w:rPr>
        <w:t>0</w:t>
      </w:r>
      <w:r>
        <w:rPr>
          <w:rFonts w:hint="default" w:ascii="Times New Roman" w:hAnsi="Times New Roman" w:eastAsia="仿宋_GB2312" w:cs="Times New Roman"/>
          <w:color w:val="000000"/>
          <w:kern w:val="0"/>
          <w:sz w:val="30"/>
          <w:szCs w:val="30"/>
          <w:u w:val="none" w:color="auto"/>
        </w:rPr>
        <w:t>%，变动原因：本年无国有资本经营预算财政拨款收、支、余</w:t>
      </w:r>
      <w:r>
        <w:rPr>
          <w:rFonts w:hint="default" w:ascii="Times New Roman" w:hAnsi="Times New Roman" w:eastAsia="仿宋_GB2312" w:cs="Times New Roman"/>
          <w:color w:val="000000"/>
          <w:kern w:val="0"/>
          <w:sz w:val="30"/>
          <w:szCs w:val="30"/>
          <w:u w:val="none" w:color="auto"/>
          <w:lang w:eastAsia="zh-CN"/>
        </w:rPr>
        <w:t>。</w:t>
      </w:r>
    </w:p>
    <w:p w14:paraId="15A28F74">
      <w:pPr>
        <w:pStyle w:val="2"/>
        <w:ind w:firstLine="464"/>
        <w:rPr>
          <w:rFonts w:hint="default"/>
          <w:lang w:eastAsia="zh-CN"/>
        </w:rPr>
      </w:pPr>
    </w:p>
    <w:p w14:paraId="789AE68B">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十一、机关运行经费（公用经费）支出决算情况说明</w:t>
      </w:r>
    </w:p>
    <w:p w14:paraId="576544AB">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u w:val="none" w:color="auto"/>
        </w:rPr>
        <w:t>   </w:t>
      </w:r>
      <w:r>
        <w:rPr>
          <w:rFonts w:hint="default" w:ascii="Times New Roman" w:hAnsi="Times New Roman" w:eastAsia="仿宋_GB2312" w:cs="Times New Roman"/>
          <w:color w:val="000000"/>
          <w:kern w:val="0"/>
          <w:sz w:val="30"/>
          <w:szCs w:val="30"/>
          <w:u w:val="none" w:color="auto"/>
        </w:rPr>
        <w:t xml:space="preserve"> 内蒙古自治区呼伦贝尔市根河市自然资源局 2024年度公用经费支出决算 72.38万元，与上年决算相比，增加 30.53万元，增长 72.95%，变动原因：</w:t>
      </w:r>
      <w:r>
        <w:rPr>
          <w:rFonts w:hint="eastAsia" w:ascii="Times New Roman" w:hAnsi="Times New Roman" w:eastAsia="仿宋_GB2312" w:cs="Times New Roman"/>
          <w:color w:val="000000"/>
          <w:kern w:val="0"/>
          <w:sz w:val="30"/>
          <w:szCs w:val="30"/>
          <w:u w:val="none" w:color="auto"/>
        </w:rPr>
        <w:t>新考录人员增加</w:t>
      </w:r>
      <w:r>
        <w:rPr>
          <w:rFonts w:hint="eastAsia" w:ascii="Times New Roman" w:hAnsi="Times New Roman" w:eastAsia="仿宋_GB2312" w:cs="Times New Roman"/>
          <w:color w:val="000000"/>
          <w:kern w:val="0"/>
          <w:sz w:val="30"/>
          <w:szCs w:val="30"/>
          <w:u w:val="none" w:color="auto"/>
          <w:lang w:val="en-US" w:eastAsia="zh-CN"/>
        </w:rPr>
        <w:t>3名</w:t>
      </w:r>
      <w:r>
        <w:rPr>
          <w:rFonts w:hint="eastAsia" w:ascii="Times New Roman" w:hAnsi="Times New Roman" w:eastAsia="仿宋_GB2312" w:cs="Times New Roman"/>
          <w:color w:val="000000"/>
          <w:kern w:val="0"/>
          <w:sz w:val="30"/>
          <w:szCs w:val="30"/>
          <w:u w:val="none" w:color="auto"/>
          <w:lang w:eastAsia="zh-CN"/>
        </w:rPr>
        <w:t>，</w:t>
      </w:r>
      <w:r>
        <w:rPr>
          <w:rFonts w:hint="eastAsia" w:ascii="Times New Roman" w:hAnsi="Times New Roman" w:eastAsia="仿宋_GB2312" w:cs="Times New Roman"/>
          <w:color w:val="000000"/>
          <w:kern w:val="0"/>
          <w:sz w:val="30"/>
          <w:szCs w:val="30"/>
          <w:u w:val="none" w:color="auto"/>
          <w:lang w:val="en-US" w:eastAsia="zh-CN"/>
        </w:rPr>
        <w:t>维修局内基础设施</w:t>
      </w:r>
      <w:r>
        <w:rPr>
          <w:rFonts w:hint="default" w:ascii="Times New Roman" w:hAnsi="Times New Roman" w:eastAsia="仿宋_GB2312" w:cs="Times New Roman"/>
          <w:color w:val="000000"/>
          <w:kern w:val="0"/>
          <w:sz w:val="30"/>
          <w:szCs w:val="30"/>
          <w:u w:val="none" w:color="auto"/>
        </w:rPr>
        <w:t>。其中，机关运行经费支出决算 72.38万元。比上年决算相比，增加 30.53万元，增长72.95%，变动原因：</w:t>
      </w:r>
      <w:r>
        <w:rPr>
          <w:rFonts w:hint="eastAsia" w:ascii="Times New Roman" w:hAnsi="Times New Roman" w:eastAsia="仿宋_GB2312" w:cs="Times New Roman"/>
          <w:color w:val="000000"/>
          <w:kern w:val="0"/>
          <w:sz w:val="30"/>
          <w:szCs w:val="30"/>
          <w:u w:val="none" w:color="auto"/>
        </w:rPr>
        <w:t>新考录人员增加</w:t>
      </w:r>
      <w:r>
        <w:rPr>
          <w:rFonts w:hint="eastAsia" w:ascii="Times New Roman" w:hAnsi="Times New Roman" w:eastAsia="仿宋_GB2312" w:cs="Times New Roman"/>
          <w:color w:val="000000"/>
          <w:kern w:val="0"/>
          <w:sz w:val="30"/>
          <w:szCs w:val="30"/>
          <w:u w:val="none" w:color="auto"/>
          <w:lang w:val="en-US" w:eastAsia="zh-CN"/>
        </w:rPr>
        <w:t>3名</w:t>
      </w:r>
      <w:r>
        <w:rPr>
          <w:rFonts w:hint="eastAsia" w:ascii="Times New Roman" w:hAnsi="Times New Roman" w:eastAsia="仿宋_GB2312" w:cs="Times New Roman"/>
          <w:color w:val="000000"/>
          <w:kern w:val="0"/>
          <w:sz w:val="30"/>
          <w:szCs w:val="30"/>
          <w:u w:val="none" w:color="auto"/>
          <w:lang w:eastAsia="zh-CN"/>
        </w:rPr>
        <w:t>，</w:t>
      </w:r>
      <w:r>
        <w:rPr>
          <w:rFonts w:hint="eastAsia" w:ascii="Times New Roman" w:hAnsi="Times New Roman" w:eastAsia="仿宋_GB2312" w:cs="Times New Roman"/>
          <w:color w:val="000000"/>
          <w:kern w:val="0"/>
          <w:sz w:val="30"/>
          <w:szCs w:val="30"/>
          <w:u w:val="none" w:color="auto"/>
        </w:rPr>
        <w:t>维修局内基础设施</w:t>
      </w:r>
      <w:r>
        <w:rPr>
          <w:rFonts w:hint="default" w:ascii="Times New Roman" w:hAnsi="Times New Roman" w:eastAsia="仿宋_GB2312" w:cs="Times New Roman"/>
          <w:color w:val="000000"/>
          <w:kern w:val="0"/>
          <w:sz w:val="30"/>
          <w:szCs w:val="30"/>
          <w:u w:val="none" w:color="auto"/>
        </w:rPr>
        <w:t>。</w:t>
      </w:r>
    </w:p>
    <w:p w14:paraId="5EF3D89A">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十二、政府采购支出决算情况说明</w:t>
      </w:r>
    </w:p>
    <w:p w14:paraId="41F0087F">
      <w:pPr>
        <w:widowControl/>
        <w:spacing w:before="240" w:after="240"/>
        <w:rPr>
          <w:rFonts w:hint="eastAsia" w:ascii="仿宋_GB2312" w:hAnsi="仿宋_GB2312" w:eastAsia="仿宋_GB2312" w:cs="仿宋_GB2312"/>
          <w:kern w:val="0"/>
          <w:sz w:val="30"/>
          <w:szCs w:val="30"/>
          <w:u w:val="none" w:color="auto"/>
          <w:lang w:eastAsia="zh-CN"/>
        </w:rPr>
      </w:pPr>
      <w:r>
        <w:rPr>
          <w:rFonts w:ascii="仿宋_GB2312" w:hAnsi="仿宋_GB2312" w:eastAsia="仿宋_GB2312" w:cs="仿宋_GB2312"/>
          <w:kern w:val="0"/>
          <w:sz w:val="30"/>
          <w:szCs w:val="30"/>
          <w:u w:val="none" w:color="auto"/>
        </w:rPr>
        <w:t> </w:t>
      </w:r>
      <w:r>
        <w:rPr>
          <w:rFonts w:hint="default" w:ascii="仿宋_GB2312" w:hAnsi="仿宋_GB2312" w:eastAsia="仿宋_GB2312" w:cs="仿宋_GB2312"/>
          <w:kern w:val="0"/>
          <w:sz w:val="30"/>
          <w:szCs w:val="30"/>
          <w:u w:val="none" w:color="auto"/>
        </w:rPr>
        <w:t xml:space="preserve">   内蒙古自治区呼伦贝尔市根河市自然资源局 2024年度政府采购支出总额 64.50万元，其中：政府采购货物支出 0万元、政府采购工程支出 0万元、政府采购服务支出 64.50万元。政府采购授予中小企业合同金额 64.50万元，占政府采购支出总额的</w:t>
      </w:r>
      <w:r>
        <w:rPr>
          <w:rFonts w:hint="eastAsia" w:ascii="仿宋_GB2312" w:hAnsi="仿宋_GB2312" w:eastAsia="仿宋_GB2312" w:cs="仿宋_GB2312"/>
          <w:kern w:val="0"/>
          <w:sz w:val="30"/>
          <w:szCs w:val="30"/>
          <w:u w:val="none" w:color="auto"/>
          <w:lang w:val="en-US" w:eastAsia="zh-CN"/>
        </w:rPr>
        <w:t>100.0</w:t>
      </w:r>
      <w:r>
        <w:rPr>
          <w:rFonts w:hint="default" w:ascii="仿宋_GB2312" w:hAnsi="仿宋_GB2312" w:eastAsia="仿宋_GB2312" w:cs="仿宋_GB2312"/>
          <w:kern w:val="0"/>
          <w:sz w:val="30"/>
          <w:szCs w:val="30"/>
          <w:u w:val="none" w:color="auto"/>
        </w:rPr>
        <w:t>%，其中：授予小微企业合同金额  64.50万元，占政府采购支出总额的</w:t>
      </w:r>
      <w:r>
        <w:rPr>
          <w:rFonts w:hint="eastAsia" w:ascii="仿宋_GB2312" w:hAnsi="仿宋_GB2312" w:eastAsia="仿宋_GB2312" w:cs="仿宋_GB2312"/>
          <w:kern w:val="0"/>
          <w:sz w:val="30"/>
          <w:szCs w:val="30"/>
          <w:u w:val="none" w:color="auto"/>
          <w:lang w:val="en-US" w:eastAsia="zh-CN"/>
        </w:rPr>
        <w:t>100.0</w:t>
      </w:r>
      <w:r>
        <w:rPr>
          <w:rFonts w:hint="default" w:ascii="仿宋_GB2312" w:hAnsi="仿宋_GB2312" w:eastAsia="仿宋_GB2312" w:cs="仿宋_GB2312"/>
          <w:kern w:val="0"/>
          <w:sz w:val="30"/>
          <w:szCs w:val="30"/>
          <w:u w:val="none" w:color="auto"/>
        </w:rPr>
        <w:t>%</w:t>
      </w:r>
      <w:r>
        <w:rPr>
          <w:rFonts w:hint="eastAsia" w:ascii="仿宋_GB2312" w:hAnsi="仿宋_GB2312" w:eastAsia="仿宋_GB2312" w:cs="仿宋_GB2312"/>
          <w:kern w:val="0"/>
          <w:sz w:val="30"/>
          <w:szCs w:val="30"/>
          <w:u w:val="none" w:color="auto"/>
          <w:lang w:eastAsia="zh-CN"/>
        </w:rPr>
        <w:t>。</w:t>
      </w:r>
    </w:p>
    <w:p w14:paraId="2EA97A4F">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十三、国有资产占用情况说明</w:t>
      </w:r>
    </w:p>
    <w:p w14:paraId="2AF864EB">
      <w:pPr>
        <w:widowControl/>
        <w:spacing w:before="240" w:after="240"/>
        <w:ind w:firstLine="450"/>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内蒙古自治区呼伦贝尔市根河市自然资源局 截至</w:t>
      </w:r>
      <w:r>
        <w:rPr>
          <w:rFonts w:hint="default" w:ascii="Times New Roman" w:hAnsi="Times New Roman" w:eastAsia="times_new_roman" w:cs="Times New Roman"/>
          <w:color w:val="000000"/>
          <w:kern w:val="0"/>
          <w:sz w:val="30"/>
          <w:szCs w:val="30"/>
          <w:u w:val="none" w:color="auto"/>
        </w:rPr>
        <w:t>2024</w:t>
      </w:r>
      <w:r>
        <w:rPr>
          <w:rFonts w:hint="default" w:ascii="Times New Roman" w:hAnsi="Times New Roman" w:eastAsia="仿宋_GB2312" w:cs="Times New Roman"/>
          <w:color w:val="000000"/>
          <w:kern w:val="0"/>
          <w:sz w:val="30"/>
          <w:szCs w:val="30"/>
          <w:u w:val="none" w:color="auto"/>
        </w:rPr>
        <w:t>年</w:t>
      </w:r>
      <w:r>
        <w:rPr>
          <w:rFonts w:hint="default" w:ascii="Times New Roman" w:hAnsi="Times New Roman" w:eastAsia="times_new_roman" w:cs="Times New Roman"/>
          <w:color w:val="000000"/>
          <w:kern w:val="0"/>
          <w:sz w:val="30"/>
          <w:szCs w:val="30"/>
          <w:u w:val="none" w:color="auto"/>
        </w:rPr>
        <w:t>12</w:t>
      </w:r>
      <w:r>
        <w:rPr>
          <w:rFonts w:hint="default" w:ascii="Times New Roman" w:hAnsi="Times New Roman" w:eastAsia="仿宋_GB2312" w:cs="Times New Roman"/>
          <w:color w:val="000000"/>
          <w:kern w:val="0"/>
          <w:sz w:val="30"/>
          <w:szCs w:val="30"/>
          <w:u w:val="none" w:color="auto"/>
        </w:rPr>
        <w:t>月</w:t>
      </w:r>
      <w:r>
        <w:rPr>
          <w:rFonts w:hint="default" w:ascii="Times New Roman" w:hAnsi="Times New Roman" w:eastAsia="times_new_roman" w:cs="Times New Roman"/>
          <w:color w:val="000000"/>
          <w:kern w:val="0"/>
          <w:sz w:val="30"/>
          <w:szCs w:val="30"/>
          <w:u w:val="none" w:color="auto"/>
        </w:rPr>
        <w:t>31</w:t>
      </w:r>
      <w:r>
        <w:rPr>
          <w:rFonts w:hint="default" w:ascii="Times New Roman" w:hAnsi="Times New Roman" w:eastAsia="仿宋_GB2312" w:cs="Times New Roman"/>
          <w:color w:val="000000"/>
          <w:kern w:val="0"/>
          <w:sz w:val="30"/>
          <w:szCs w:val="30"/>
          <w:u w:val="none" w:color="auto"/>
        </w:rPr>
        <w:t>日，本部门（单位）共有车辆</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辆，其中：副部（省）级及以上领导用车</w:t>
      </w:r>
      <w:r>
        <w:rPr>
          <w:rFonts w:hint="default" w:ascii="Times New Roman" w:hAnsi="Times New Roman" w:eastAsia="times_new_roman" w:cs="Times New Roman"/>
          <w:color w:val="000000"/>
          <w:kern w:val="0"/>
          <w:sz w:val="30"/>
          <w:szCs w:val="30"/>
          <w:u w:val="none" w:color="auto"/>
        </w:rPr>
        <w:t>0 </w:t>
      </w:r>
      <w:r>
        <w:rPr>
          <w:rFonts w:hint="default" w:ascii="Times New Roman" w:hAnsi="Times New Roman" w:eastAsia="仿宋_GB2312" w:cs="Times New Roman"/>
          <w:color w:val="000000"/>
          <w:kern w:val="0"/>
          <w:sz w:val="30"/>
          <w:szCs w:val="30"/>
          <w:u w:val="none" w:color="auto"/>
        </w:rPr>
        <w:t>辆、主要负责人用车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辆、机要通信用车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辆、应急保障用车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辆、执法执勤用车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辆、特种专业技术用车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辆、离退休干部服务用车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辆，其他用车</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辆；单价100万元（含）以上的设备（不含车辆）</w:t>
      </w:r>
      <w:r>
        <w:rPr>
          <w:rFonts w:hint="default" w:ascii="Times New Roman" w:hAnsi="Times New Roman" w:eastAsia="times_new_roman" w:cs="Times New Roman"/>
          <w:color w:val="000000"/>
          <w:kern w:val="0"/>
          <w:sz w:val="30"/>
          <w:szCs w:val="30"/>
          <w:u w:val="none" w:color="auto"/>
        </w:rPr>
        <w:t> 0</w:t>
      </w:r>
      <w:r>
        <w:rPr>
          <w:rFonts w:hint="default" w:ascii="Times New Roman" w:hAnsi="Times New Roman" w:eastAsia="仿宋_GB2312" w:cs="Times New Roman"/>
          <w:color w:val="000000"/>
          <w:kern w:val="0"/>
          <w:sz w:val="30"/>
          <w:szCs w:val="30"/>
          <w:u w:val="none" w:color="auto"/>
        </w:rPr>
        <w:t>台（套）。</w:t>
      </w:r>
    </w:p>
    <w:p w14:paraId="4476B189">
      <w:pPr>
        <w:pStyle w:val="2"/>
        <w:ind w:firstLine="450"/>
        <w:rPr>
          <w:rFonts w:hint="default"/>
        </w:rPr>
      </w:pPr>
    </w:p>
    <w:p w14:paraId="27EB2C96">
      <w:pPr>
        <w:pStyle w:val="3"/>
        <w:rPr>
          <w:rFonts w:hint="default"/>
        </w:rPr>
      </w:pPr>
    </w:p>
    <w:p w14:paraId="1916DF89">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十四、预算绩效情况说明</w:t>
      </w:r>
    </w:p>
    <w:p w14:paraId="738791C7">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default" w:ascii="Times New Roman" w:hAnsi="Times New Roman" w:eastAsia="仿宋_GB2312" w:cs="Times New Roman"/>
          <w:color w:val="000000"/>
          <w:kern w:val="0"/>
          <w:sz w:val="30"/>
          <w:szCs w:val="30"/>
          <w:u w:val="none" w:color="auto"/>
        </w:rPr>
        <w:t xml:space="preserve">   （一）预算绩效管理工作开展情况。</w:t>
      </w:r>
    </w:p>
    <w:p w14:paraId="11D6E63D">
      <w:pPr>
        <w:keepNext w:val="0"/>
        <w:keepLines w:val="0"/>
        <w:pageBreakBefore w:val="0"/>
        <w:widowControl/>
        <w:kinsoku/>
        <w:wordWrap/>
        <w:overflowPunct/>
        <w:topLinePunct w:val="0"/>
        <w:autoSpaceDE/>
        <w:autoSpaceDN/>
        <w:bidi w:val="0"/>
        <w:adjustRightInd/>
        <w:snapToGrid/>
        <w:ind w:firstLine="438"/>
        <w:textAlignment w:val="auto"/>
        <w:rPr>
          <w:rFonts w:hint="default" w:ascii="Times New Roman" w:hAnsi="Times New Roman" w:eastAsia="仿宋_GB2312" w:cs="Times New Roman"/>
          <w:color w:val="000000"/>
          <w:kern w:val="0"/>
          <w:sz w:val="30"/>
          <w:szCs w:val="30"/>
          <w:u w:val="none" w:color="auto"/>
        </w:rPr>
      </w:pPr>
      <w:r>
        <w:rPr>
          <w:rFonts w:ascii="仿宋_GB2312" w:hAnsi="仿宋_GB2312" w:eastAsia="仿宋_GB2312" w:cs="仿宋_GB2312"/>
          <w:kern w:val="0"/>
          <w:sz w:val="30"/>
          <w:szCs w:val="30"/>
        </w:rPr>
        <w:t> </w:t>
      </w:r>
      <w:r>
        <w:rPr>
          <w:rFonts w:hint="eastAsia" w:ascii="仿宋_GB2312" w:hAnsi="仿宋_GB2312" w:eastAsia="仿宋_GB2312" w:cs="仿宋_GB2312"/>
          <w:kern w:val="0"/>
          <w:sz w:val="30"/>
          <w:szCs w:val="30"/>
        </w:rPr>
        <w:t>内蒙古自治区呼伦贝尔市</w:t>
      </w:r>
      <w:r>
        <w:rPr>
          <w:rFonts w:hint="default" w:ascii="Times New Roman" w:hAnsi="Times New Roman" w:eastAsia="仿宋_GB2312" w:cs="Times New Roman"/>
          <w:color w:val="000000"/>
          <w:kern w:val="0"/>
          <w:sz w:val="30"/>
          <w:szCs w:val="30"/>
          <w:u w:val="none" w:color="auto"/>
        </w:rPr>
        <w:t>根河市自然资源局根据预算绩效管理要求组织对</w:t>
      </w:r>
      <w:r>
        <w:rPr>
          <w:rFonts w:hint="default" w:ascii="Times New Roman" w:hAnsi="Times New Roman" w:eastAsia="times_new_roman" w:cs="Times New Roman"/>
          <w:color w:val="000000"/>
          <w:kern w:val="0"/>
          <w:sz w:val="30"/>
          <w:szCs w:val="30"/>
          <w:u w:val="none" w:color="auto"/>
        </w:rPr>
        <w:t>2024</w:t>
      </w:r>
      <w:r>
        <w:rPr>
          <w:rFonts w:hint="default" w:ascii="Times New Roman" w:hAnsi="Times New Roman" w:eastAsia="仿宋_GB2312" w:cs="Times New Roman"/>
          <w:color w:val="000000"/>
          <w:kern w:val="0"/>
          <w:sz w:val="30"/>
          <w:szCs w:val="30"/>
          <w:u w:val="none" w:color="auto"/>
        </w:rPr>
        <w:t>年一般公共预算项目支出全面开展绩效自评，其中一级项目</w:t>
      </w:r>
      <w:r>
        <w:rPr>
          <w:rFonts w:hint="default" w:ascii="Times New Roman" w:hAnsi="Times New Roman" w:cs="Times New Roman"/>
          <w:color w:val="000000"/>
          <w:kern w:val="0"/>
          <w:sz w:val="30"/>
          <w:szCs w:val="30"/>
          <w:u w:val="none" w:color="auto"/>
          <w:lang w:val="en-US" w:eastAsia="zh-CN"/>
        </w:rPr>
        <w:t>0</w:t>
      </w:r>
      <w:r>
        <w:rPr>
          <w:rFonts w:hint="default" w:ascii="Times New Roman" w:hAnsi="Times New Roman" w:eastAsia="仿宋_GB2312" w:cs="Times New Roman"/>
          <w:color w:val="000000"/>
          <w:kern w:val="0"/>
          <w:sz w:val="30"/>
          <w:szCs w:val="30"/>
          <w:u w:val="none" w:color="auto"/>
        </w:rPr>
        <w:t>个，二级项目</w:t>
      </w:r>
      <w:r>
        <w:rPr>
          <w:rFonts w:hint="eastAsia" w:eastAsia="仿宋_GB2312" w:cs="Times New Roman"/>
          <w:color w:val="000000"/>
          <w:kern w:val="0"/>
          <w:sz w:val="30"/>
          <w:szCs w:val="30"/>
          <w:u w:val="none" w:color="auto"/>
          <w:lang w:val="en-US" w:eastAsia="zh-CN"/>
        </w:rPr>
        <w:t>5</w:t>
      </w:r>
      <w:r>
        <w:rPr>
          <w:rFonts w:hint="default" w:ascii="Times New Roman" w:hAnsi="Times New Roman" w:eastAsia="仿宋_GB2312" w:cs="Times New Roman"/>
          <w:color w:val="000000"/>
          <w:kern w:val="0"/>
          <w:sz w:val="30"/>
          <w:szCs w:val="30"/>
          <w:u w:val="none" w:color="auto"/>
        </w:rPr>
        <w:t>个，共涉及资金</w:t>
      </w:r>
      <w:r>
        <w:rPr>
          <w:rFonts w:hint="eastAsia" w:cs="Times New Roman"/>
          <w:color w:val="000000"/>
          <w:kern w:val="0"/>
          <w:sz w:val="30"/>
          <w:szCs w:val="30"/>
          <w:u w:val="none" w:color="auto"/>
          <w:lang w:val="en-US" w:eastAsia="zh-CN"/>
        </w:rPr>
        <w:t>202.17</w:t>
      </w:r>
      <w:r>
        <w:rPr>
          <w:rFonts w:hint="default" w:ascii="Times New Roman" w:hAnsi="Times New Roman" w:eastAsia="仿宋_GB2312" w:cs="Times New Roman"/>
          <w:color w:val="000000"/>
          <w:kern w:val="0"/>
          <w:sz w:val="30"/>
          <w:szCs w:val="30"/>
          <w:u w:val="none" w:color="auto"/>
        </w:rPr>
        <w:t>万元，占一般公共预算项目支出总额的</w:t>
      </w:r>
      <w:r>
        <w:rPr>
          <w:rFonts w:hint="default" w:ascii="Times New Roman" w:hAnsi="Times New Roman" w:eastAsia="times_new_roman" w:cs="Times New Roman"/>
          <w:color w:val="000000"/>
          <w:kern w:val="0"/>
          <w:sz w:val="30"/>
          <w:szCs w:val="30"/>
          <w:u w:val="none" w:color="auto"/>
        </w:rPr>
        <w:t>100</w:t>
      </w:r>
      <w:r>
        <w:rPr>
          <w:rFonts w:hint="default" w:ascii="Times New Roman" w:hAnsi="Times New Roman" w:eastAsia="仿宋_GB2312" w:cs="Times New Roman"/>
          <w:color w:val="000000"/>
          <w:kern w:val="0"/>
          <w:sz w:val="30"/>
          <w:szCs w:val="30"/>
          <w:u w:val="none" w:color="auto"/>
        </w:rPr>
        <w:t>%；</w:t>
      </w:r>
    </w:p>
    <w:p w14:paraId="252C215F">
      <w:pPr>
        <w:keepNext w:val="0"/>
        <w:keepLines w:val="0"/>
        <w:pageBreakBefore w:val="0"/>
        <w:widowControl/>
        <w:kinsoku/>
        <w:wordWrap/>
        <w:overflowPunct/>
        <w:topLinePunct w:val="0"/>
        <w:autoSpaceDE/>
        <w:autoSpaceDN/>
        <w:bidi w:val="0"/>
        <w:adjustRightInd/>
        <w:snapToGrid/>
        <w:ind w:firstLine="438"/>
        <w:textAlignment w:val="auto"/>
        <w:rPr>
          <w:rFonts w:ascii="Times New Roman" w:hAnsi="Times New Roman" w:eastAsia="Times New Roman" w:cs="Times New Roman"/>
          <w:kern w:val="0"/>
          <w:sz w:val="24"/>
        </w:rPr>
      </w:pPr>
      <w:r>
        <w:rPr>
          <w:rFonts w:hint="default" w:ascii="Times New Roman" w:hAnsi="Times New Roman" w:eastAsia="仿宋_GB2312" w:cs="Times New Roman"/>
          <w:color w:val="000000"/>
          <w:kern w:val="0"/>
          <w:sz w:val="30"/>
          <w:szCs w:val="30"/>
          <w:u w:val="none" w:color="auto"/>
        </w:rPr>
        <w:t> 组织对“</w:t>
      </w:r>
      <w:r>
        <w:rPr>
          <w:rFonts w:hint="default" w:ascii="Times New Roman" w:hAnsi="Times New Roman" w:eastAsia="仿宋_GB2312" w:cs="Times New Roman"/>
          <w:color w:val="000000"/>
          <w:kern w:val="0"/>
          <w:sz w:val="30"/>
          <w:szCs w:val="30"/>
          <w:u w:val="none" w:color="auto"/>
          <w:lang w:val="en-US" w:eastAsia="zh-CN"/>
        </w:rPr>
        <w:t>根河市中心城区详细规划和敖鲁古雅国土空间规划</w:t>
      </w:r>
      <w:r>
        <w:rPr>
          <w:rFonts w:hint="default" w:ascii="Times New Roman" w:hAnsi="Times New Roman" w:eastAsia="仿宋_GB2312" w:cs="Times New Roman"/>
          <w:color w:val="000000"/>
          <w:kern w:val="0"/>
          <w:sz w:val="30"/>
          <w:szCs w:val="30"/>
          <w:u w:val="none" w:color="auto"/>
        </w:rPr>
        <w:t>”、“</w:t>
      </w:r>
      <w:r>
        <w:rPr>
          <w:rFonts w:hint="default" w:ascii="Times New Roman" w:hAnsi="Times New Roman" w:eastAsia="仿宋_GB2312" w:cs="Times New Roman"/>
          <w:color w:val="000000"/>
          <w:kern w:val="0"/>
          <w:sz w:val="30"/>
          <w:szCs w:val="30"/>
          <w:u w:val="none" w:color="auto"/>
          <w:lang w:val="en-US" w:eastAsia="zh-CN"/>
        </w:rPr>
        <w:t>根河市满归、阿龙山国土空间规划</w:t>
      </w:r>
      <w:r>
        <w:rPr>
          <w:rFonts w:hint="default" w:ascii="Times New Roman" w:hAnsi="Times New Roman" w:eastAsia="仿宋_GB2312" w:cs="Times New Roman"/>
          <w:color w:val="000000"/>
          <w:kern w:val="0"/>
          <w:sz w:val="30"/>
          <w:szCs w:val="30"/>
          <w:u w:val="none" w:color="auto"/>
        </w:rPr>
        <w:t>”、“</w:t>
      </w:r>
      <w:r>
        <w:rPr>
          <w:rFonts w:hint="eastAsia" w:eastAsia="仿宋_GB2312" w:cs="Times New Roman"/>
          <w:color w:val="000000"/>
          <w:kern w:val="0"/>
          <w:sz w:val="30"/>
          <w:szCs w:val="30"/>
          <w:u w:val="none" w:color="auto"/>
          <w:lang w:val="en-US" w:eastAsia="zh-CN"/>
        </w:rPr>
        <w:t>国家级省域地价</w:t>
      </w:r>
      <w:r>
        <w:rPr>
          <w:rFonts w:hint="default" w:ascii="Times New Roman" w:hAnsi="Times New Roman" w:eastAsia="仿宋_GB2312" w:cs="Times New Roman"/>
          <w:color w:val="000000"/>
          <w:kern w:val="0"/>
          <w:sz w:val="30"/>
          <w:szCs w:val="30"/>
          <w:u w:val="none" w:color="auto"/>
        </w:rPr>
        <w:t>”</w:t>
      </w:r>
      <w:r>
        <w:rPr>
          <w:rFonts w:hint="eastAsia" w:eastAsia="仿宋_GB2312" w:cs="Times New Roman"/>
          <w:color w:val="000000"/>
          <w:kern w:val="0"/>
          <w:sz w:val="30"/>
          <w:szCs w:val="30"/>
          <w:u w:val="none" w:color="auto"/>
          <w:lang w:eastAsia="zh-CN"/>
        </w:rPr>
        <w:t>“</w:t>
      </w:r>
      <w:r>
        <w:rPr>
          <w:rFonts w:hint="default" w:ascii="Times New Roman" w:hAnsi="Times New Roman" w:eastAsia="仿宋_GB2312" w:cs="Times New Roman"/>
          <w:color w:val="000000"/>
          <w:kern w:val="0"/>
          <w:sz w:val="30"/>
          <w:szCs w:val="30"/>
          <w:u w:val="none" w:color="auto"/>
        </w:rPr>
        <w:t>根河市国土空间生态修复规划</w:t>
      </w:r>
      <w:r>
        <w:rPr>
          <w:rFonts w:hint="eastAsia" w:eastAsia="仿宋_GB2312" w:cs="Times New Roman"/>
          <w:color w:val="000000"/>
          <w:kern w:val="0"/>
          <w:sz w:val="30"/>
          <w:szCs w:val="30"/>
          <w:u w:val="none" w:color="auto"/>
          <w:lang w:eastAsia="zh-CN"/>
        </w:rPr>
        <w:t>”、“根河市金河镇、得耳布尔镇国土空间规划”</w:t>
      </w:r>
      <w:r>
        <w:rPr>
          <w:rFonts w:hint="default" w:ascii="Times New Roman" w:hAnsi="Times New Roman" w:eastAsia="仿宋_GB2312" w:cs="Times New Roman"/>
          <w:color w:val="000000"/>
          <w:kern w:val="0"/>
          <w:sz w:val="30"/>
          <w:szCs w:val="30"/>
          <w:u w:val="none" w:color="auto"/>
        </w:rPr>
        <w:t>等 </w:t>
      </w:r>
      <w:r>
        <w:rPr>
          <w:rFonts w:hint="eastAsia" w:eastAsia="仿宋_GB2312" w:cs="Times New Roman"/>
          <w:color w:val="000000"/>
          <w:kern w:val="0"/>
          <w:sz w:val="30"/>
          <w:szCs w:val="30"/>
          <w:u w:val="none" w:color="auto"/>
          <w:lang w:val="en-US" w:eastAsia="zh-CN"/>
        </w:rPr>
        <w:t>5</w:t>
      </w:r>
      <w:r>
        <w:rPr>
          <w:rFonts w:hint="default" w:ascii="Times New Roman" w:hAnsi="Times New Roman" w:eastAsia="仿宋_GB2312" w:cs="Times New Roman"/>
          <w:color w:val="000000"/>
          <w:kern w:val="0"/>
          <w:sz w:val="30"/>
          <w:szCs w:val="30"/>
          <w:u w:val="none" w:color="auto"/>
        </w:rPr>
        <w:t>个项目开展了部门评价，涉及一般公共预算</w:t>
      </w:r>
      <w:r>
        <w:rPr>
          <w:rFonts w:ascii="仿宋_GB2312" w:hAnsi="仿宋_GB2312" w:eastAsia="仿宋_GB2312" w:cs="仿宋_GB2312"/>
          <w:color w:val="000000"/>
          <w:kern w:val="0"/>
          <w:sz w:val="30"/>
          <w:szCs w:val="30"/>
          <w:u w:val="none" w:color="auto"/>
        </w:rPr>
        <w:t>支出</w:t>
      </w:r>
      <w:r>
        <w:rPr>
          <w:rFonts w:hint="eastAsia" w:cs="Times New Roman"/>
          <w:color w:val="000000"/>
          <w:kern w:val="0"/>
          <w:sz w:val="30"/>
          <w:szCs w:val="30"/>
          <w:u w:val="none" w:color="auto"/>
          <w:lang w:val="en-US" w:eastAsia="zh-CN"/>
        </w:rPr>
        <w:t>202.17</w:t>
      </w:r>
      <w:r>
        <w:rPr>
          <w:rFonts w:ascii="仿宋_GB2312" w:hAnsi="仿宋_GB2312" w:eastAsia="仿宋_GB2312" w:cs="仿宋_GB2312"/>
          <w:color w:val="000000"/>
          <w:kern w:val="0"/>
          <w:sz w:val="30"/>
          <w:szCs w:val="30"/>
          <w:u w:val="none" w:color="auto"/>
        </w:rPr>
        <w:t>万元。其中，对</w:t>
      </w:r>
      <w:r>
        <w:rPr>
          <w:rFonts w:hint="eastAsia" w:ascii="仿宋_GB2312" w:hAnsi="仿宋_GB2312" w:eastAsia="仿宋_GB2312" w:cs="仿宋_GB2312"/>
          <w:color w:val="000000"/>
          <w:kern w:val="0"/>
          <w:sz w:val="30"/>
          <w:szCs w:val="30"/>
          <w:u w:val="none" w:color="auto"/>
        </w:rPr>
        <w:t>“根河市中心城区详细规划和敖鲁古雅国土空间规划”、“根河市满归、阿龙山国土空间规划”、“国家级省域地价”“根河市国土空间生态修复规划”、“根河市金河镇、得耳布尔镇国土空间规划”</w:t>
      </w:r>
      <w:r>
        <w:rPr>
          <w:rFonts w:ascii="仿宋_GB2312" w:hAnsi="仿宋_GB2312" w:eastAsia="仿宋_GB2312" w:cs="仿宋_GB2312"/>
          <w:color w:val="000000"/>
          <w:kern w:val="0"/>
          <w:sz w:val="30"/>
          <w:szCs w:val="30"/>
          <w:u w:val="none" w:color="auto"/>
        </w:rPr>
        <w:t>等项目</w:t>
      </w:r>
      <w:r>
        <w:rPr>
          <w:rFonts w:hint="eastAsia" w:ascii="仿宋_GB2312" w:hAnsi="仿宋_GB2312" w:eastAsia="仿宋_GB2312" w:cs="仿宋_GB2312"/>
          <w:color w:val="000000"/>
          <w:kern w:val="0"/>
          <w:sz w:val="30"/>
          <w:szCs w:val="30"/>
          <w:u w:val="none" w:color="auto"/>
          <w:lang w:val="en-US" w:eastAsia="zh-CN"/>
        </w:rPr>
        <w:t>未</w:t>
      </w:r>
      <w:r>
        <w:rPr>
          <w:rFonts w:ascii="仿宋_GB2312" w:hAnsi="仿宋_GB2312" w:eastAsia="仿宋_GB2312" w:cs="仿宋_GB2312"/>
          <w:color w:val="000000"/>
          <w:kern w:val="0"/>
          <w:sz w:val="30"/>
          <w:szCs w:val="30"/>
          <w:u w:val="none" w:color="auto"/>
        </w:rPr>
        <w:t>委托相关第三方机构开展绩效评价。</w:t>
      </w:r>
    </w:p>
    <w:p w14:paraId="5E01DCA6">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（二）单位决算中项目绩效自评结果。</w:t>
      </w:r>
    </w:p>
    <w:p w14:paraId="2AC6D767">
      <w:pPr>
        <w:keepNext w:val="0"/>
        <w:keepLines w:val="0"/>
        <w:pageBreakBefore w:val="0"/>
        <w:widowControl/>
        <w:kinsoku/>
        <w:wordWrap/>
        <w:overflowPunct/>
        <w:topLinePunct w:val="0"/>
        <w:autoSpaceDE/>
        <w:autoSpaceDN/>
        <w:bidi w:val="0"/>
        <w:adjustRightInd/>
        <w:snapToGrid/>
        <w:ind w:firstLine="438"/>
        <w:textAlignment w:val="auto"/>
        <w:rPr>
          <w:rFonts w:hint="default" w:ascii="Times New Roman" w:hAnsi="Times New Roman" w:eastAsia="仿宋_GB2312" w:cs="Times New Roman"/>
          <w:color w:val="000000"/>
          <w:kern w:val="0"/>
          <w:sz w:val="30"/>
          <w:szCs w:val="30"/>
          <w:u w:val="none" w:color="auto"/>
          <w:lang w:val="en-US" w:eastAsia="zh-CN"/>
        </w:rPr>
      </w:pPr>
      <w:r>
        <w:rPr>
          <w:rFonts w:hint="default" w:ascii="Times New Roman" w:hAnsi="Times New Roman" w:eastAsia="仿宋_GB2312" w:cs="Times New Roman"/>
          <w:color w:val="000000"/>
          <w:kern w:val="0"/>
          <w:sz w:val="30"/>
          <w:szCs w:val="30"/>
          <w:u w:val="none" w:color="auto"/>
          <w:lang w:val="en-US" w:eastAsia="zh-CN"/>
        </w:rPr>
        <w:t> 内蒙古自治区呼伦贝尔市</w:t>
      </w:r>
      <w:r>
        <w:rPr>
          <w:rFonts w:hint="eastAsia" w:ascii="Times New Roman" w:hAnsi="Times New Roman" w:eastAsia="仿宋_GB2312" w:cs="Times New Roman"/>
          <w:color w:val="000000"/>
          <w:kern w:val="0"/>
          <w:sz w:val="30"/>
          <w:szCs w:val="30"/>
          <w:u w:val="none" w:color="auto"/>
          <w:lang w:val="en-US" w:eastAsia="zh-CN"/>
        </w:rPr>
        <w:t>根河市自然资源局2024年度在决算中反映5个一般公共预算项目，共5个项目的绩效自评结果</w:t>
      </w:r>
      <w:r>
        <w:rPr>
          <w:rFonts w:hint="default" w:ascii="Times New Roman" w:hAnsi="Times New Roman" w:eastAsia="仿宋_GB2312" w:cs="Times New Roman"/>
          <w:color w:val="000000"/>
          <w:kern w:val="0"/>
          <w:sz w:val="30"/>
          <w:szCs w:val="30"/>
          <w:u w:val="none" w:color="auto"/>
          <w:lang w:val="en-US" w:eastAsia="zh-CN"/>
        </w:rPr>
        <w:t>。</w:t>
      </w:r>
    </w:p>
    <w:p w14:paraId="2F425D50">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val="none" w:color="auto"/>
          <w:lang w:val="en-US" w:eastAsia="zh-CN"/>
        </w:rPr>
      </w:pPr>
      <w:r>
        <w:rPr>
          <w:rFonts w:hint="default" w:ascii="Times New Roman" w:hAnsi="Times New Roman" w:eastAsia="仿宋_GB2312" w:cs="Times New Roman"/>
          <w:color w:val="000000"/>
          <w:kern w:val="0"/>
          <w:sz w:val="30"/>
          <w:szCs w:val="30"/>
          <w:u w:color="auto"/>
          <w:lang w:val="en-US" w:eastAsia="zh-CN" w:bidi="ar-SA"/>
        </w:rPr>
        <w:t>1.</w:t>
      </w:r>
      <w:r>
        <w:rPr>
          <w:rFonts w:hint="eastAsia" w:ascii="Times New Roman" w:hAnsi="Times New Roman" w:eastAsia="仿宋_GB2312" w:cs="Times New Roman"/>
          <w:color w:val="000000"/>
          <w:kern w:val="0"/>
          <w:sz w:val="30"/>
          <w:szCs w:val="30"/>
          <w:u w:val="none" w:color="auto"/>
          <w:lang w:val="en-US" w:eastAsia="zh-CN"/>
        </w:rPr>
        <w:t xml:space="preserve"> </w:t>
      </w:r>
      <w:r>
        <w:rPr>
          <w:rFonts w:hint="default" w:ascii="Times New Roman" w:hAnsi="Times New Roman" w:eastAsia="仿宋_GB2312" w:cs="Times New Roman"/>
          <w:color w:val="000000"/>
          <w:kern w:val="0"/>
          <w:sz w:val="30"/>
          <w:szCs w:val="30"/>
          <w:u w:val="none" w:color="auto"/>
          <w:lang w:val="en-US" w:eastAsia="zh-CN"/>
        </w:rPr>
        <w:t>根河市中心城区详细规划和敖鲁古雅国土空间规划项目自评综述：根据年初设定的绩效目标，项目自评得分100分。全年预算数为10万元，执行数为10万元，完成预算的100%。项目绩效目标完成情况：已完成。发现的主要问题及原因：无。下一步改进措施：无。</w:t>
      </w:r>
    </w:p>
    <w:p w14:paraId="30A6AC92">
      <w:pPr>
        <w:pStyle w:val="2"/>
        <w:widowControl/>
        <w:numPr>
          <w:ilvl w:val="0"/>
          <w:numId w:val="0"/>
        </w:numPr>
        <w:jc w:val="both"/>
        <w:rPr>
          <w:rFonts w:hint="default"/>
          <w:lang w:val="en-US" w:eastAsia="zh-CN"/>
        </w:rPr>
      </w:pPr>
    </w:p>
    <w:p w14:paraId="1EA8E669">
      <w:pPr>
        <w:pStyle w:val="2"/>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549"/>
        <w:gridCol w:w="1593"/>
        <w:gridCol w:w="1005"/>
        <w:gridCol w:w="893"/>
        <w:gridCol w:w="893"/>
        <w:gridCol w:w="1004"/>
        <w:gridCol w:w="549"/>
        <w:gridCol w:w="668"/>
        <w:gridCol w:w="505"/>
        <w:gridCol w:w="756"/>
        <w:gridCol w:w="937"/>
      </w:tblGrid>
      <w:tr w14:paraId="3316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CF7490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195F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44D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F83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根河市中心城区详细规划和敖鲁古雅乡国土空间规划、城市设计编制</w:t>
            </w:r>
          </w:p>
        </w:tc>
      </w:tr>
      <w:tr w14:paraId="47D6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0AB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44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56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F8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766F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C8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0DFE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2A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63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25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76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60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B8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719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16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C9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50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0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D0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19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1E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0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80C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5E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1E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A4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E8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35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3091">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1E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BD0F">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56C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37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B2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FC79B">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F40F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74A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FD3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20B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797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CE2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EC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4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CF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56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1A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275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75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E67">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113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03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5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AE4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73F7">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AB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我市通过公开招标方式确定呼伦贝尔市同创规划设计咨询有限公司为根河市中心城区和敖鲁古雅乡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6B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028A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9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DF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B7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B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99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17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FF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C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C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3B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D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C3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C43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C380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E382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6991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C36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93D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69F5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419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099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4D46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15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A8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C003E6">
            <w:pPr>
              <w:jc w:val="center"/>
              <w:rPr>
                <w:rFonts w:hint="eastAsia" w:ascii="宋体" w:hAnsi="宋体" w:eastAsia="宋体" w:cs="宋体"/>
                <w:i w:val="0"/>
                <w:iCs w:val="0"/>
                <w:color w:val="000000"/>
                <w:sz w:val="18"/>
                <w:szCs w:val="18"/>
                <w:u w:val="none"/>
              </w:rPr>
            </w:pPr>
          </w:p>
        </w:tc>
      </w:tr>
      <w:tr w14:paraId="534F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5FFB43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D74A62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A9D80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30A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B2B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61F6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99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210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BA15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47A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74D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AE6D39">
            <w:pPr>
              <w:jc w:val="center"/>
              <w:rPr>
                <w:rFonts w:hint="eastAsia" w:ascii="宋体" w:hAnsi="宋体" w:eastAsia="宋体" w:cs="宋体"/>
                <w:i w:val="0"/>
                <w:iCs w:val="0"/>
                <w:color w:val="000000"/>
                <w:sz w:val="18"/>
                <w:szCs w:val="18"/>
                <w:u w:val="none"/>
              </w:rPr>
            </w:pPr>
          </w:p>
        </w:tc>
      </w:tr>
      <w:tr w14:paraId="5BF4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CDD128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93152C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8D14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50C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424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0D62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DBC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302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E2B2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F41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5A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D563B8">
            <w:pPr>
              <w:jc w:val="center"/>
              <w:rPr>
                <w:rFonts w:hint="eastAsia" w:ascii="宋体" w:hAnsi="宋体" w:eastAsia="宋体" w:cs="宋体"/>
                <w:i w:val="0"/>
                <w:iCs w:val="0"/>
                <w:color w:val="000000"/>
                <w:sz w:val="18"/>
                <w:szCs w:val="18"/>
                <w:u w:val="none"/>
              </w:rPr>
            </w:pPr>
          </w:p>
        </w:tc>
      </w:tr>
      <w:tr w14:paraId="410D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55A06F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C784AA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6DE40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B7D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737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2334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AD6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728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6C000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E40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C93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9F68C3">
            <w:pPr>
              <w:jc w:val="center"/>
              <w:rPr>
                <w:rFonts w:hint="eastAsia" w:ascii="宋体" w:hAnsi="宋体" w:eastAsia="宋体" w:cs="宋体"/>
                <w:i w:val="0"/>
                <w:iCs w:val="0"/>
                <w:color w:val="000000"/>
                <w:sz w:val="18"/>
                <w:szCs w:val="18"/>
                <w:u w:val="none"/>
              </w:rPr>
            </w:pPr>
          </w:p>
        </w:tc>
      </w:tr>
      <w:tr w14:paraId="5E61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95113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EE52E6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87F8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C8E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F27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C932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CB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8AA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654C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752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F30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54A009">
            <w:pPr>
              <w:jc w:val="center"/>
              <w:rPr>
                <w:rFonts w:hint="eastAsia" w:ascii="宋体" w:hAnsi="宋体" w:eastAsia="宋体" w:cs="宋体"/>
                <w:i w:val="0"/>
                <w:iCs w:val="0"/>
                <w:color w:val="000000"/>
                <w:sz w:val="18"/>
                <w:szCs w:val="18"/>
                <w:u w:val="none"/>
              </w:rPr>
            </w:pPr>
          </w:p>
        </w:tc>
      </w:tr>
      <w:tr w14:paraId="15AE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2CE2C4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B80871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6DB57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897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952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FB9C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D92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EC2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BCAF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16A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E93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BE3088">
            <w:pPr>
              <w:jc w:val="center"/>
              <w:rPr>
                <w:rFonts w:hint="eastAsia" w:ascii="宋体" w:hAnsi="宋体" w:eastAsia="宋体" w:cs="宋体"/>
                <w:i w:val="0"/>
                <w:iCs w:val="0"/>
                <w:color w:val="000000"/>
                <w:sz w:val="18"/>
                <w:szCs w:val="18"/>
                <w:u w:val="none"/>
              </w:rPr>
            </w:pPr>
          </w:p>
        </w:tc>
      </w:tr>
      <w:tr w14:paraId="5F7E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80E399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256D6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B744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A8E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1D3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A29B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8B9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7CF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3E46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468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0CF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D92968">
            <w:pPr>
              <w:jc w:val="center"/>
              <w:rPr>
                <w:rFonts w:hint="eastAsia" w:ascii="宋体" w:hAnsi="宋体" w:eastAsia="宋体" w:cs="宋体"/>
                <w:i w:val="0"/>
                <w:iCs w:val="0"/>
                <w:color w:val="000000"/>
                <w:sz w:val="18"/>
                <w:szCs w:val="18"/>
                <w:u w:val="none"/>
              </w:rPr>
            </w:pPr>
          </w:p>
        </w:tc>
      </w:tr>
      <w:tr w14:paraId="1C25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5A25A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3B810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5812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291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D8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E692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DFA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E34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DF56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B47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AA5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265C00">
            <w:pPr>
              <w:jc w:val="center"/>
              <w:rPr>
                <w:rFonts w:hint="eastAsia" w:ascii="宋体" w:hAnsi="宋体" w:eastAsia="宋体" w:cs="宋体"/>
                <w:i w:val="0"/>
                <w:iCs w:val="0"/>
                <w:color w:val="000000"/>
                <w:sz w:val="18"/>
                <w:szCs w:val="18"/>
                <w:u w:val="none"/>
              </w:rPr>
            </w:pPr>
          </w:p>
        </w:tc>
      </w:tr>
      <w:tr w14:paraId="044D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942324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0C41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21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FD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699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3442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683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034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0B39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463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E5A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8F4E9E">
            <w:pPr>
              <w:jc w:val="center"/>
              <w:rPr>
                <w:rFonts w:hint="eastAsia" w:ascii="宋体" w:hAnsi="宋体" w:eastAsia="宋体" w:cs="宋体"/>
                <w:i w:val="0"/>
                <w:iCs w:val="0"/>
                <w:color w:val="000000"/>
                <w:sz w:val="18"/>
                <w:szCs w:val="18"/>
                <w:u w:val="none"/>
              </w:rPr>
            </w:pPr>
          </w:p>
        </w:tc>
      </w:tr>
      <w:tr w14:paraId="418C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4073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98F7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1D6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02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C5D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95E2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8F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150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E97C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808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93FC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823551">
            <w:pPr>
              <w:jc w:val="center"/>
              <w:rPr>
                <w:rFonts w:hint="eastAsia" w:ascii="宋体" w:hAnsi="宋体" w:eastAsia="宋体" w:cs="宋体"/>
                <w:i w:val="0"/>
                <w:iCs w:val="0"/>
                <w:color w:val="000000"/>
                <w:sz w:val="18"/>
                <w:szCs w:val="18"/>
                <w:u w:val="none"/>
              </w:rPr>
            </w:pPr>
          </w:p>
        </w:tc>
      </w:tr>
      <w:tr w14:paraId="447E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E0C71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4B92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5F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6BE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69E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67B2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A11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BDF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94EA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52F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FA4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5CE02A">
            <w:pPr>
              <w:jc w:val="center"/>
              <w:rPr>
                <w:rFonts w:hint="eastAsia" w:ascii="宋体" w:hAnsi="宋体" w:eastAsia="宋体" w:cs="宋体"/>
                <w:i w:val="0"/>
                <w:iCs w:val="0"/>
                <w:color w:val="000000"/>
                <w:sz w:val="18"/>
                <w:szCs w:val="18"/>
                <w:u w:val="none"/>
              </w:rPr>
            </w:pPr>
          </w:p>
        </w:tc>
      </w:tr>
      <w:tr w14:paraId="049B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AED98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AE7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3BD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2B8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B2A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4343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3EE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69B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973F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B60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344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25A49A">
            <w:pPr>
              <w:jc w:val="center"/>
              <w:rPr>
                <w:rFonts w:hint="eastAsia" w:ascii="宋体" w:hAnsi="宋体" w:eastAsia="宋体" w:cs="宋体"/>
                <w:i w:val="0"/>
                <w:iCs w:val="0"/>
                <w:color w:val="000000"/>
                <w:sz w:val="18"/>
                <w:szCs w:val="18"/>
                <w:u w:val="none"/>
              </w:rPr>
            </w:pPr>
          </w:p>
        </w:tc>
      </w:tr>
      <w:tr w14:paraId="677F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E51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CF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1F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89729">
            <w:pPr>
              <w:jc w:val="center"/>
              <w:rPr>
                <w:rFonts w:hint="eastAsia" w:ascii="宋体" w:hAnsi="宋体" w:eastAsia="宋体" w:cs="宋体"/>
                <w:i w:val="0"/>
                <w:iCs w:val="0"/>
                <w:color w:val="000000"/>
                <w:sz w:val="18"/>
                <w:szCs w:val="18"/>
                <w:u w:val="none"/>
              </w:rPr>
            </w:pPr>
          </w:p>
        </w:tc>
      </w:tr>
    </w:tbl>
    <w:p w14:paraId="08848FB1">
      <w:pPr>
        <w:pStyle w:val="11"/>
        <w:rPr>
          <w:rFonts w:hint="eastAsia"/>
          <w:lang w:eastAsia="zh-CN"/>
        </w:rPr>
      </w:pPr>
    </w:p>
    <w:p w14:paraId="56276E94">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2.</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根河市满归、阿龙山国土空间规划项目自评综述：根据年初设定的绩效目标，项目自评得分100分。全年预算数为10万元，执行数为10万元，完成预算的100%。项目绩效目标完成情况：已完成。发现的主要问题及原因：无。下一步改进措施：无。</w:t>
      </w:r>
    </w:p>
    <w:p w14:paraId="78B9C12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color w:val="000000"/>
          <w:kern w:val="0"/>
          <w:sz w:val="27"/>
          <w:szCs w:val="27"/>
        </w:rPr>
        <w:t xml:space="preserve">  </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558"/>
        <w:gridCol w:w="1578"/>
        <w:gridCol w:w="995"/>
        <w:gridCol w:w="884"/>
        <w:gridCol w:w="884"/>
        <w:gridCol w:w="995"/>
        <w:gridCol w:w="558"/>
        <w:gridCol w:w="673"/>
        <w:gridCol w:w="506"/>
        <w:gridCol w:w="756"/>
        <w:gridCol w:w="958"/>
      </w:tblGrid>
      <w:tr w14:paraId="1985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64324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3676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A59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AE0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根河市阿龙山镇、满归镇国土空间规划。城市设计</w:t>
            </w:r>
          </w:p>
        </w:tc>
      </w:tr>
      <w:tr w14:paraId="40E1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EA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19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1C5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92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3312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D1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B245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2B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5A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DC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50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4F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AC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06C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E97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78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BE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A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CC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21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88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84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E6F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C5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DD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32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31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16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B22D">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1A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86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22E0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2B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E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6C9A4">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4B1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B4B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A1B2">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6B7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3DB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22A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3C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E9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45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1E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A6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542">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E9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881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4DF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95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BF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9C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180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CE41">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CF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根据内蒙古自治区自然资源厅《关于进一步做好国土空间规划编制工作的通知》要求，我市通过公开招标方式确定北京佰信蓝图科技股份有限公司为阿龙山镇、满归镇国土空间规划、城市设计编制单位。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3F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5994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C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73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5A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18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CB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57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45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71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2B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A0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3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8A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9E5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E77C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242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438B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EFA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84A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F81B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AD8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65D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B1A1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F1C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1AA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32767A">
            <w:pPr>
              <w:jc w:val="center"/>
              <w:rPr>
                <w:rFonts w:hint="eastAsia" w:ascii="宋体" w:hAnsi="宋体" w:eastAsia="宋体" w:cs="宋体"/>
                <w:i w:val="0"/>
                <w:iCs w:val="0"/>
                <w:color w:val="000000"/>
                <w:sz w:val="18"/>
                <w:szCs w:val="18"/>
                <w:u w:val="none"/>
              </w:rPr>
            </w:pPr>
          </w:p>
        </w:tc>
      </w:tr>
      <w:tr w14:paraId="3959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3B35A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1A7B0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3A1E9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34C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0F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37F1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52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F6F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61AD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A57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7C6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69B021">
            <w:pPr>
              <w:jc w:val="center"/>
              <w:rPr>
                <w:rFonts w:hint="eastAsia" w:ascii="宋体" w:hAnsi="宋体" w:eastAsia="宋体" w:cs="宋体"/>
                <w:i w:val="0"/>
                <w:iCs w:val="0"/>
                <w:color w:val="000000"/>
                <w:sz w:val="18"/>
                <w:szCs w:val="18"/>
                <w:u w:val="none"/>
              </w:rPr>
            </w:pPr>
          </w:p>
        </w:tc>
      </w:tr>
      <w:tr w14:paraId="6D11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CE87DF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EEE30C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4143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816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1F8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F09B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7C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7BF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8243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454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503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9C9D6B">
            <w:pPr>
              <w:jc w:val="center"/>
              <w:rPr>
                <w:rFonts w:hint="eastAsia" w:ascii="宋体" w:hAnsi="宋体" w:eastAsia="宋体" w:cs="宋体"/>
                <w:i w:val="0"/>
                <w:iCs w:val="0"/>
                <w:color w:val="000000"/>
                <w:sz w:val="18"/>
                <w:szCs w:val="18"/>
                <w:u w:val="none"/>
              </w:rPr>
            </w:pPr>
          </w:p>
        </w:tc>
      </w:tr>
      <w:tr w14:paraId="5481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C85F6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0D5580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AEB9F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0DF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FC1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5FF4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649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A85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BE19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552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181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517155">
            <w:pPr>
              <w:jc w:val="center"/>
              <w:rPr>
                <w:rFonts w:hint="eastAsia" w:ascii="宋体" w:hAnsi="宋体" w:eastAsia="宋体" w:cs="宋体"/>
                <w:i w:val="0"/>
                <w:iCs w:val="0"/>
                <w:color w:val="000000"/>
                <w:sz w:val="18"/>
                <w:szCs w:val="18"/>
                <w:u w:val="none"/>
              </w:rPr>
            </w:pPr>
          </w:p>
        </w:tc>
      </w:tr>
      <w:tr w14:paraId="7DA0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B461C2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0FC903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EB5A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EA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8A9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D5A9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F4A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399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30F4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6F2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5AB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82D8B4">
            <w:pPr>
              <w:jc w:val="center"/>
              <w:rPr>
                <w:rFonts w:hint="eastAsia" w:ascii="宋体" w:hAnsi="宋体" w:eastAsia="宋体" w:cs="宋体"/>
                <w:i w:val="0"/>
                <w:iCs w:val="0"/>
                <w:color w:val="000000"/>
                <w:sz w:val="18"/>
                <w:szCs w:val="18"/>
                <w:u w:val="none"/>
              </w:rPr>
            </w:pPr>
          </w:p>
        </w:tc>
      </w:tr>
      <w:tr w14:paraId="2D55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3D780B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64ADC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62086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4FF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306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49DD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AB1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4A5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627F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D65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722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C56A62">
            <w:pPr>
              <w:jc w:val="center"/>
              <w:rPr>
                <w:rFonts w:hint="eastAsia" w:ascii="宋体" w:hAnsi="宋体" w:eastAsia="宋体" w:cs="宋体"/>
                <w:i w:val="0"/>
                <w:iCs w:val="0"/>
                <w:color w:val="000000"/>
                <w:sz w:val="18"/>
                <w:szCs w:val="18"/>
                <w:u w:val="none"/>
              </w:rPr>
            </w:pPr>
          </w:p>
        </w:tc>
      </w:tr>
      <w:tr w14:paraId="28CA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9739D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637054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5365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83F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4B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F037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224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7B7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9DFA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213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90E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35D997">
            <w:pPr>
              <w:jc w:val="center"/>
              <w:rPr>
                <w:rFonts w:hint="eastAsia" w:ascii="宋体" w:hAnsi="宋体" w:eastAsia="宋体" w:cs="宋体"/>
                <w:i w:val="0"/>
                <w:iCs w:val="0"/>
                <w:color w:val="000000"/>
                <w:sz w:val="18"/>
                <w:szCs w:val="18"/>
                <w:u w:val="none"/>
              </w:rPr>
            </w:pPr>
          </w:p>
        </w:tc>
      </w:tr>
      <w:tr w14:paraId="1F42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48C36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2627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F1EE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16B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938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9279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9C1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BB3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3D34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E26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292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7D4293">
            <w:pPr>
              <w:jc w:val="center"/>
              <w:rPr>
                <w:rFonts w:hint="eastAsia" w:ascii="宋体" w:hAnsi="宋体" w:eastAsia="宋体" w:cs="宋体"/>
                <w:i w:val="0"/>
                <w:iCs w:val="0"/>
                <w:color w:val="000000"/>
                <w:sz w:val="18"/>
                <w:szCs w:val="18"/>
                <w:u w:val="none"/>
              </w:rPr>
            </w:pPr>
          </w:p>
        </w:tc>
      </w:tr>
      <w:tr w14:paraId="48A9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91DB3A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E1C1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8A0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EA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44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EFCA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C9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A38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6BF0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55E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81F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59BC5E">
            <w:pPr>
              <w:jc w:val="center"/>
              <w:rPr>
                <w:rFonts w:hint="eastAsia" w:ascii="宋体" w:hAnsi="宋体" w:eastAsia="宋体" w:cs="宋体"/>
                <w:i w:val="0"/>
                <w:iCs w:val="0"/>
                <w:color w:val="000000"/>
                <w:sz w:val="18"/>
                <w:szCs w:val="18"/>
                <w:u w:val="none"/>
              </w:rPr>
            </w:pPr>
          </w:p>
        </w:tc>
      </w:tr>
      <w:tr w14:paraId="5D0D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1E6D1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F728B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1C9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50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301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56C9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364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F07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89C0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5E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FAD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8987D1">
            <w:pPr>
              <w:jc w:val="center"/>
              <w:rPr>
                <w:rFonts w:hint="eastAsia" w:ascii="宋体" w:hAnsi="宋体" w:eastAsia="宋体" w:cs="宋体"/>
                <w:i w:val="0"/>
                <w:iCs w:val="0"/>
                <w:color w:val="000000"/>
                <w:sz w:val="18"/>
                <w:szCs w:val="18"/>
                <w:u w:val="none"/>
              </w:rPr>
            </w:pPr>
          </w:p>
        </w:tc>
      </w:tr>
      <w:tr w14:paraId="64CC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1C06F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D03E4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3B4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295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5E9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E88A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12E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57A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E310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53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B4D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AD0E14">
            <w:pPr>
              <w:jc w:val="center"/>
              <w:rPr>
                <w:rFonts w:hint="eastAsia" w:ascii="宋体" w:hAnsi="宋体" w:eastAsia="宋体" w:cs="宋体"/>
                <w:i w:val="0"/>
                <w:iCs w:val="0"/>
                <w:color w:val="000000"/>
                <w:sz w:val="18"/>
                <w:szCs w:val="18"/>
                <w:u w:val="none"/>
              </w:rPr>
            </w:pPr>
          </w:p>
        </w:tc>
      </w:tr>
      <w:tr w14:paraId="1B14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43AD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2C7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9E6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DF8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F0D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B9E8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FC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4F2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B06C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A26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8BD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693A4A">
            <w:pPr>
              <w:jc w:val="center"/>
              <w:rPr>
                <w:rFonts w:hint="eastAsia" w:ascii="宋体" w:hAnsi="宋体" w:eastAsia="宋体" w:cs="宋体"/>
                <w:i w:val="0"/>
                <w:iCs w:val="0"/>
                <w:color w:val="000000"/>
                <w:sz w:val="18"/>
                <w:szCs w:val="18"/>
                <w:u w:val="none"/>
              </w:rPr>
            </w:pPr>
          </w:p>
        </w:tc>
      </w:tr>
      <w:tr w14:paraId="36FC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DC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01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8F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AA396">
            <w:pPr>
              <w:jc w:val="center"/>
              <w:rPr>
                <w:rFonts w:hint="eastAsia" w:ascii="宋体" w:hAnsi="宋体" w:eastAsia="宋体" w:cs="宋体"/>
                <w:i w:val="0"/>
                <w:iCs w:val="0"/>
                <w:color w:val="000000"/>
                <w:sz w:val="18"/>
                <w:szCs w:val="18"/>
                <w:u w:val="none"/>
              </w:rPr>
            </w:pPr>
          </w:p>
        </w:tc>
      </w:tr>
    </w:tbl>
    <w:p w14:paraId="28D1040F">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color w:val="000000"/>
          <w:kern w:val="0"/>
          <w:sz w:val="30"/>
          <w:szCs w:val="30"/>
          <w:u w:color="auto"/>
          <w:lang w:val="en-US" w:eastAsia="zh-CN" w:bidi="ar-SA"/>
        </w:rPr>
      </w:pPr>
    </w:p>
    <w:p w14:paraId="1ED981D6">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3.</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国家级省域地价项目自评综述：根据年初设定的绩效目标，项目自评得分100分。全年预算数为</w:t>
      </w:r>
      <w:r>
        <w:rPr>
          <w:rFonts w:hint="eastAsia" w:ascii="Times New Roman" w:hAnsi="Times New Roman" w:eastAsia="仿宋_GB2312" w:cs="Times New Roman"/>
          <w:color w:val="000000"/>
          <w:kern w:val="0"/>
          <w:sz w:val="30"/>
          <w:szCs w:val="30"/>
          <w:u w:color="auto"/>
          <w:lang w:val="en-US" w:eastAsia="zh-CN" w:bidi="ar-SA"/>
        </w:rPr>
        <w:t>4</w:t>
      </w:r>
      <w:r>
        <w:rPr>
          <w:rFonts w:hint="default" w:ascii="Times New Roman" w:hAnsi="Times New Roman" w:eastAsia="仿宋_GB2312" w:cs="Times New Roman"/>
          <w:color w:val="000000"/>
          <w:kern w:val="0"/>
          <w:sz w:val="30"/>
          <w:szCs w:val="30"/>
          <w:u w:color="auto"/>
          <w:lang w:val="en-US" w:eastAsia="zh-CN" w:bidi="ar-SA"/>
        </w:rPr>
        <w:t>万元，执行数为</w:t>
      </w:r>
      <w:r>
        <w:rPr>
          <w:rFonts w:hint="eastAsia" w:ascii="Times New Roman" w:hAnsi="Times New Roman" w:eastAsia="仿宋_GB2312" w:cs="Times New Roman"/>
          <w:color w:val="000000"/>
          <w:kern w:val="0"/>
          <w:sz w:val="30"/>
          <w:szCs w:val="30"/>
          <w:u w:color="auto"/>
          <w:lang w:val="en-US" w:eastAsia="zh-CN" w:bidi="ar-SA"/>
        </w:rPr>
        <w:t>4</w:t>
      </w:r>
      <w:r>
        <w:rPr>
          <w:rFonts w:hint="default" w:ascii="Times New Roman" w:hAnsi="Times New Roman" w:eastAsia="仿宋_GB2312" w:cs="Times New Roman"/>
          <w:color w:val="000000"/>
          <w:kern w:val="0"/>
          <w:sz w:val="30"/>
          <w:szCs w:val="30"/>
          <w:u w:color="auto"/>
          <w:lang w:val="en-US" w:eastAsia="zh-CN" w:bidi="ar-SA"/>
        </w:rPr>
        <w:t>万元，完成预算的100%。项目绩效目标完成情况：已完成。发现的主要问题及原因：无。下一步改进措施：无。</w:t>
      </w:r>
    </w:p>
    <w:p w14:paraId="0B497CC6">
      <w:pPr>
        <w:pStyle w:val="3"/>
        <w:rPr>
          <w:rFonts w:hint="default"/>
          <w:lang w:val="en-US" w:eastAsia="zh-CN"/>
        </w:rPr>
      </w:pPr>
    </w:p>
    <w:p w14:paraId="522CDF5E">
      <w:pPr>
        <w:pStyle w:val="3"/>
        <w:rPr>
          <w:rFonts w:hint="default"/>
          <w:lang w:val="en-US" w:eastAsia="zh-CN"/>
        </w:rPr>
      </w:pPr>
    </w:p>
    <w:tbl>
      <w:tblPr>
        <w:tblStyle w:val="23"/>
        <w:tblW w:w="51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806"/>
        <w:gridCol w:w="1287"/>
        <w:gridCol w:w="804"/>
        <w:gridCol w:w="704"/>
        <w:gridCol w:w="715"/>
        <w:gridCol w:w="806"/>
        <w:gridCol w:w="806"/>
        <w:gridCol w:w="812"/>
        <w:gridCol w:w="550"/>
        <w:gridCol w:w="688"/>
        <w:gridCol w:w="1499"/>
      </w:tblGrid>
      <w:tr w14:paraId="7276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14099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7860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D1C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37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国家级省域地价动态监测</w:t>
            </w:r>
          </w:p>
        </w:tc>
      </w:tr>
      <w:tr w14:paraId="1B81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220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71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106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B4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490E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B4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7F6B">
            <w:pP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E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71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DD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2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C7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D16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14C4">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2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F2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BF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4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B6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D60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7D08">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C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0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34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9E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38F3">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BD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33B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5C1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7483">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E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C661">
            <w:pPr>
              <w:rPr>
                <w:rFonts w:hint="eastAsia" w:ascii="宋体" w:hAnsi="宋体" w:eastAsia="宋体" w:cs="宋体"/>
                <w:i w:val="0"/>
                <w:iCs w:val="0"/>
                <w:color w:val="000000"/>
                <w:sz w:val="18"/>
                <w:szCs w:val="18"/>
                <w:u w:val="none"/>
              </w:rPr>
            </w:pP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7D3DA">
            <w:pPr>
              <w:jc w:val="center"/>
              <w:rPr>
                <w:rFonts w:hint="eastAsia" w:ascii="宋体" w:hAnsi="宋体" w:eastAsia="宋体" w:cs="宋体"/>
                <w:i w:val="0"/>
                <w:iCs w:val="0"/>
                <w:color w:val="000000"/>
                <w:sz w:val="18"/>
                <w:szCs w:val="18"/>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7138">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76F9">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4B4A7">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9ED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2E2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8271">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8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E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FA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BB7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F1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BC46">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BC4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08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BC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FF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A22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FB66">
            <w:pPr>
              <w:jc w:val="center"/>
              <w:rPr>
                <w:rFonts w:hint="eastAsia" w:ascii="宋体" w:hAnsi="宋体" w:eastAsia="宋体" w:cs="宋体"/>
                <w:i w:val="0"/>
                <w:iCs w:val="0"/>
                <w:color w:val="000000"/>
                <w:sz w:val="18"/>
                <w:szCs w:val="18"/>
                <w:u w:val="none"/>
              </w:rPr>
            </w:pPr>
          </w:p>
        </w:tc>
        <w:tc>
          <w:tcPr>
            <w:tcW w:w="21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8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2024年自治区自然资源对下转移支付资金</w:t>
            </w:r>
          </w:p>
        </w:tc>
        <w:tc>
          <w:tcPr>
            <w:tcW w:w="21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B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2D93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2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A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E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7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5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D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B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2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A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A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250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restart"/>
            <w:tcBorders>
              <w:top w:val="single" w:color="000000" w:sz="4" w:space="0"/>
              <w:left w:val="single" w:color="000000" w:sz="4" w:space="0"/>
              <w:bottom w:val="nil"/>
              <w:right w:val="single" w:color="000000" w:sz="4" w:space="0"/>
            </w:tcBorders>
            <w:shd w:val="clear" w:color="auto" w:fill="auto"/>
            <w:vAlign w:val="center"/>
          </w:tcPr>
          <w:p w14:paraId="646F0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95" w:type="pct"/>
            <w:vMerge w:val="restart"/>
            <w:tcBorders>
              <w:top w:val="single" w:color="000000" w:sz="4" w:space="0"/>
              <w:left w:val="single" w:color="000000" w:sz="4" w:space="0"/>
              <w:bottom w:val="nil"/>
              <w:right w:val="single" w:color="000000" w:sz="4" w:space="0"/>
            </w:tcBorders>
            <w:shd w:val="clear" w:color="auto" w:fill="auto"/>
            <w:vAlign w:val="center"/>
          </w:tcPr>
          <w:p w14:paraId="19AC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3DD4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0617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1F258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31C692E7">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9B23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9739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94C3489">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5B3DD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4C74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7220C5E9">
            <w:pPr>
              <w:jc w:val="center"/>
              <w:rPr>
                <w:rFonts w:hint="eastAsia" w:ascii="宋体" w:hAnsi="宋体" w:eastAsia="宋体" w:cs="宋体"/>
                <w:i w:val="0"/>
                <w:iCs w:val="0"/>
                <w:color w:val="000000"/>
                <w:sz w:val="18"/>
                <w:szCs w:val="18"/>
                <w:u w:val="none"/>
              </w:rPr>
            </w:pPr>
          </w:p>
        </w:tc>
      </w:tr>
      <w:tr w14:paraId="0A98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BEED066">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698FC40D">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30F2DBFF">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E0F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57FB2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47676F9B">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5F644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25C5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B87C1E8">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590FA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7DE7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31B4E10F">
            <w:pPr>
              <w:jc w:val="center"/>
              <w:rPr>
                <w:rFonts w:hint="eastAsia" w:ascii="宋体" w:hAnsi="宋体" w:eastAsia="宋体" w:cs="宋体"/>
                <w:i w:val="0"/>
                <w:iCs w:val="0"/>
                <w:color w:val="000000"/>
                <w:sz w:val="18"/>
                <w:szCs w:val="18"/>
                <w:u w:val="none"/>
              </w:rPr>
            </w:pPr>
          </w:p>
        </w:tc>
      </w:tr>
      <w:tr w14:paraId="0A15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323A8D1A">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65294D5E">
            <w:pPr>
              <w:jc w:val="center"/>
              <w:rPr>
                <w:rFonts w:hint="eastAsia" w:ascii="宋体" w:hAnsi="宋体" w:eastAsia="宋体" w:cs="宋体"/>
                <w:i w:val="0"/>
                <w:iCs w:val="0"/>
                <w:color w:val="000000"/>
                <w:sz w:val="18"/>
                <w:szCs w:val="18"/>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2B6C2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77C4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7941D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0C0EF9FF">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52297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DD6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09AC516">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F52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712A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26E52BD6">
            <w:pPr>
              <w:jc w:val="center"/>
              <w:rPr>
                <w:rFonts w:hint="eastAsia" w:ascii="宋体" w:hAnsi="宋体" w:eastAsia="宋体" w:cs="宋体"/>
                <w:i w:val="0"/>
                <w:iCs w:val="0"/>
                <w:color w:val="000000"/>
                <w:sz w:val="18"/>
                <w:szCs w:val="18"/>
                <w:u w:val="none"/>
              </w:rPr>
            </w:pPr>
          </w:p>
        </w:tc>
      </w:tr>
      <w:tr w14:paraId="3D9E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B2223A2">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245CD4B6">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4A6E1520">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A7D1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0D44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2A6ACDED">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18279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72AB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C98E1DF">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4B3F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5ED0A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67D8FAE5">
            <w:pPr>
              <w:jc w:val="center"/>
              <w:rPr>
                <w:rFonts w:hint="eastAsia" w:ascii="宋体" w:hAnsi="宋体" w:eastAsia="宋体" w:cs="宋体"/>
                <w:i w:val="0"/>
                <w:iCs w:val="0"/>
                <w:color w:val="000000"/>
                <w:sz w:val="18"/>
                <w:szCs w:val="18"/>
                <w:u w:val="none"/>
              </w:rPr>
            </w:pPr>
          </w:p>
        </w:tc>
      </w:tr>
      <w:tr w14:paraId="767F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1D572711">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79E9A39F">
            <w:pPr>
              <w:jc w:val="center"/>
              <w:rPr>
                <w:rFonts w:hint="eastAsia" w:ascii="宋体" w:hAnsi="宋体" w:eastAsia="宋体" w:cs="宋体"/>
                <w:i w:val="0"/>
                <w:iCs w:val="0"/>
                <w:color w:val="000000"/>
                <w:sz w:val="18"/>
                <w:szCs w:val="18"/>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64186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D78D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0D906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57210847">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81E7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54EE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93F48E7">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11CD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8BA3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4426EA3A">
            <w:pPr>
              <w:jc w:val="center"/>
              <w:rPr>
                <w:rFonts w:hint="eastAsia" w:ascii="宋体" w:hAnsi="宋体" w:eastAsia="宋体" w:cs="宋体"/>
                <w:i w:val="0"/>
                <w:iCs w:val="0"/>
                <w:color w:val="000000"/>
                <w:sz w:val="18"/>
                <w:szCs w:val="18"/>
                <w:u w:val="none"/>
              </w:rPr>
            </w:pPr>
          </w:p>
        </w:tc>
      </w:tr>
      <w:tr w14:paraId="377E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DF316A4">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55EF06AB">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A12F464">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02B9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110B5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66B76C02">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525C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1BE8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D532547">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D6B5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53A26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3BC6C5A7">
            <w:pPr>
              <w:jc w:val="center"/>
              <w:rPr>
                <w:rFonts w:hint="eastAsia" w:ascii="宋体" w:hAnsi="宋体" w:eastAsia="宋体" w:cs="宋体"/>
                <w:i w:val="0"/>
                <w:iCs w:val="0"/>
                <w:color w:val="000000"/>
                <w:sz w:val="18"/>
                <w:szCs w:val="18"/>
                <w:u w:val="none"/>
              </w:rPr>
            </w:pPr>
          </w:p>
        </w:tc>
      </w:tr>
      <w:tr w14:paraId="7430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1DE70891">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1C9C8F9B">
            <w:pPr>
              <w:jc w:val="center"/>
              <w:rPr>
                <w:rFonts w:hint="eastAsia" w:ascii="宋体" w:hAnsi="宋体" w:eastAsia="宋体" w:cs="宋体"/>
                <w:i w:val="0"/>
                <w:iCs w:val="0"/>
                <w:color w:val="000000"/>
                <w:sz w:val="18"/>
                <w:szCs w:val="18"/>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14:paraId="7B5D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FCE4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2B201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25592C03">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71908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1040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7B378DE">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585DB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10B4A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55409F42">
            <w:pPr>
              <w:jc w:val="center"/>
              <w:rPr>
                <w:rFonts w:hint="eastAsia" w:ascii="宋体" w:hAnsi="宋体" w:eastAsia="宋体" w:cs="宋体"/>
                <w:i w:val="0"/>
                <w:iCs w:val="0"/>
                <w:color w:val="000000"/>
                <w:sz w:val="18"/>
                <w:szCs w:val="18"/>
                <w:u w:val="none"/>
              </w:rPr>
            </w:pPr>
          </w:p>
        </w:tc>
      </w:tr>
      <w:tr w14:paraId="62BA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4BBC178">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41C6B741">
            <w:pPr>
              <w:jc w:val="center"/>
              <w:rPr>
                <w:rFonts w:hint="eastAsia" w:ascii="宋体" w:hAnsi="宋体" w:eastAsia="宋体" w:cs="宋体"/>
                <w:i w:val="0"/>
                <w:iCs w:val="0"/>
                <w:color w:val="000000"/>
                <w:sz w:val="18"/>
                <w:szCs w:val="18"/>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14:paraId="260E0AB2">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7965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2AFC7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4101DF78">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683EF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B323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39E3185">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0FA3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1AB56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52EA4C24">
            <w:pPr>
              <w:jc w:val="center"/>
              <w:rPr>
                <w:rFonts w:hint="eastAsia" w:ascii="宋体" w:hAnsi="宋体" w:eastAsia="宋体" w:cs="宋体"/>
                <w:i w:val="0"/>
                <w:iCs w:val="0"/>
                <w:color w:val="000000"/>
                <w:sz w:val="18"/>
                <w:szCs w:val="18"/>
                <w:u w:val="none"/>
              </w:rPr>
            </w:pPr>
          </w:p>
        </w:tc>
      </w:tr>
      <w:tr w14:paraId="351C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9C28DB8">
            <w:pPr>
              <w:jc w:val="center"/>
              <w:rPr>
                <w:rFonts w:hint="eastAsia" w:ascii="宋体" w:hAnsi="宋体" w:eastAsia="宋体" w:cs="宋体"/>
                <w:i w:val="0"/>
                <w:iCs w:val="0"/>
                <w:color w:val="000000"/>
                <w:sz w:val="18"/>
                <w:szCs w:val="18"/>
                <w:u w:val="none"/>
              </w:rPr>
            </w:pPr>
          </w:p>
        </w:tc>
        <w:tc>
          <w:tcPr>
            <w:tcW w:w="395" w:type="pct"/>
            <w:vMerge w:val="restart"/>
            <w:tcBorders>
              <w:top w:val="single" w:color="000000" w:sz="4" w:space="0"/>
              <w:left w:val="single" w:color="000000" w:sz="4" w:space="0"/>
              <w:bottom w:val="nil"/>
              <w:right w:val="single" w:color="000000" w:sz="4" w:space="0"/>
            </w:tcBorders>
            <w:shd w:val="clear" w:color="auto" w:fill="auto"/>
            <w:vAlign w:val="center"/>
          </w:tcPr>
          <w:p w14:paraId="1F75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2" w:type="pct"/>
            <w:tcBorders>
              <w:top w:val="single" w:color="000000" w:sz="4" w:space="0"/>
              <w:left w:val="single" w:color="000000" w:sz="4" w:space="0"/>
              <w:bottom w:val="nil"/>
              <w:right w:val="single" w:color="000000" w:sz="4" w:space="0"/>
            </w:tcBorders>
            <w:shd w:val="clear" w:color="auto" w:fill="auto"/>
            <w:vAlign w:val="center"/>
          </w:tcPr>
          <w:p w14:paraId="0DEC0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ECA7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41567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7FA2E532">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2F43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BC6C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7315B731">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D268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48C49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6F1D1C9B">
            <w:pPr>
              <w:jc w:val="center"/>
              <w:rPr>
                <w:rFonts w:hint="eastAsia" w:ascii="宋体" w:hAnsi="宋体" w:eastAsia="宋体" w:cs="宋体"/>
                <w:i w:val="0"/>
                <w:iCs w:val="0"/>
                <w:color w:val="000000"/>
                <w:sz w:val="18"/>
                <w:szCs w:val="18"/>
                <w:u w:val="none"/>
              </w:rPr>
            </w:pPr>
          </w:p>
        </w:tc>
      </w:tr>
      <w:tr w14:paraId="02A2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459D2B2">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787E5C05">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nil"/>
              <w:right w:val="single" w:color="000000" w:sz="4" w:space="0"/>
            </w:tcBorders>
            <w:shd w:val="clear" w:color="auto" w:fill="auto"/>
            <w:vAlign w:val="center"/>
          </w:tcPr>
          <w:p w14:paraId="4A5B6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61B2D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27864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08D490BD">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CF07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86D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24818A07">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6F787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6DCB8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2C11CA5E">
            <w:pPr>
              <w:jc w:val="center"/>
              <w:rPr>
                <w:rFonts w:hint="eastAsia" w:ascii="宋体" w:hAnsi="宋体" w:eastAsia="宋体" w:cs="宋体"/>
                <w:i w:val="0"/>
                <w:iCs w:val="0"/>
                <w:color w:val="000000"/>
                <w:sz w:val="18"/>
                <w:szCs w:val="18"/>
                <w:u w:val="none"/>
              </w:rPr>
            </w:pPr>
          </w:p>
        </w:tc>
      </w:tr>
      <w:tr w14:paraId="23DF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6A1CE611">
            <w:pPr>
              <w:jc w:val="center"/>
              <w:rPr>
                <w:rFonts w:hint="eastAsia" w:ascii="宋体" w:hAnsi="宋体" w:eastAsia="宋体" w:cs="宋体"/>
                <w:i w:val="0"/>
                <w:iCs w:val="0"/>
                <w:color w:val="000000"/>
                <w:sz w:val="18"/>
                <w:szCs w:val="18"/>
                <w:u w:val="none"/>
              </w:rPr>
            </w:pPr>
          </w:p>
        </w:tc>
        <w:tc>
          <w:tcPr>
            <w:tcW w:w="395" w:type="pct"/>
            <w:vMerge w:val="continue"/>
            <w:tcBorders>
              <w:top w:val="single" w:color="000000" w:sz="4" w:space="0"/>
              <w:left w:val="single" w:color="000000" w:sz="4" w:space="0"/>
              <w:bottom w:val="nil"/>
              <w:right w:val="single" w:color="000000" w:sz="4" w:space="0"/>
            </w:tcBorders>
            <w:shd w:val="clear" w:color="auto" w:fill="auto"/>
            <w:vAlign w:val="center"/>
          </w:tcPr>
          <w:p w14:paraId="3C73C4C0">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nil"/>
              <w:right w:val="single" w:color="000000" w:sz="4" w:space="0"/>
            </w:tcBorders>
            <w:shd w:val="clear" w:color="auto" w:fill="auto"/>
            <w:vAlign w:val="center"/>
          </w:tcPr>
          <w:p w14:paraId="324BA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0752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6ED3A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63C9EE28">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3300D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32AD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4BB9EFC0">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EFA0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07E07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40C9DDA2">
            <w:pPr>
              <w:jc w:val="center"/>
              <w:rPr>
                <w:rFonts w:hint="eastAsia" w:ascii="宋体" w:hAnsi="宋体" w:eastAsia="宋体" w:cs="宋体"/>
                <w:i w:val="0"/>
                <w:iCs w:val="0"/>
                <w:color w:val="000000"/>
                <w:sz w:val="18"/>
                <w:szCs w:val="18"/>
                <w:u w:val="none"/>
              </w:rPr>
            </w:pPr>
          </w:p>
        </w:tc>
      </w:tr>
      <w:tr w14:paraId="78CA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5" w:type="pct"/>
            <w:vMerge w:val="continue"/>
            <w:tcBorders>
              <w:top w:val="single" w:color="000000" w:sz="4" w:space="0"/>
              <w:left w:val="single" w:color="000000" w:sz="4" w:space="0"/>
              <w:bottom w:val="nil"/>
              <w:right w:val="single" w:color="000000" w:sz="4" w:space="0"/>
            </w:tcBorders>
            <w:shd w:val="clear" w:color="auto" w:fill="auto"/>
            <w:vAlign w:val="center"/>
          </w:tcPr>
          <w:p w14:paraId="206C0865">
            <w:pPr>
              <w:jc w:val="center"/>
              <w:rPr>
                <w:rFonts w:hint="eastAsia" w:ascii="宋体" w:hAnsi="宋体" w:eastAsia="宋体" w:cs="宋体"/>
                <w:i w:val="0"/>
                <w:iCs w:val="0"/>
                <w:color w:val="000000"/>
                <w:sz w:val="18"/>
                <w:szCs w:val="18"/>
                <w:u w:val="none"/>
              </w:rPr>
            </w:pPr>
          </w:p>
        </w:tc>
        <w:tc>
          <w:tcPr>
            <w:tcW w:w="395" w:type="pct"/>
            <w:tcBorders>
              <w:top w:val="single" w:color="000000" w:sz="4" w:space="0"/>
              <w:left w:val="single" w:color="000000" w:sz="4" w:space="0"/>
              <w:bottom w:val="nil"/>
              <w:right w:val="single" w:color="000000" w:sz="4" w:space="0"/>
            </w:tcBorders>
            <w:shd w:val="clear" w:color="auto" w:fill="auto"/>
            <w:vAlign w:val="center"/>
          </w:tcPr>
          <w:p w14:paraId="3342B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2" w:type="pct"/>
            <w:tcBorders>
              <w:top w:val="single" w:color="000000" w:sz="4" w:space="0"/>
              <w:left w:val="single" w:color="000000" w:sz="4" w:space="0"/>
              <w:bottom w:val="nil"/>
              <w:right w:val="single" w:color="000000" w:sz="4" w:space="0"/>
            </w:tcBorders>
            <w:shd w:val="clear" w:color="auto" w:fill="auto"/>
            <w:vAlign w:val="center"/>
          </w:tcPr>
          <w:p w14:paraId="25C0C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5540C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478A5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49" w:type="pct"/>
            <w:tcBorders>
              <w:top w:val="single" w:color="000000" w:sz="4" w:space="0"/>
              <w:left w:val="single" w:color="000000" w:sz="4" w:space="0"/>
              <w:bottom w:val="nil"/>
              <w:right w:val="single" w:color="000000" w:sz="4" w:space="0"/>
            </w:tcBorders>
            <w:shd w:val="clear" w:color="auto" w:fill="auto"/>
            <w:vAlign w:val="center"/>
          </w:tcPr>
          <w:p w14:paraId="06F72FF2">
            <w:pPr>
              <w:jc w:val="center"/>
              <w:rPr>
                <w:rFonts w:hint="eastAsia" w:ascii="宋体" w:hAnsi="宋体" w:eastAsia="宋体" w:cs="宋体"/>
                <w:i w:val="0"/>
                <w:iCs w:val="0"/>
                <w:color w:val="000000"/>
                <w:sz w:val="18"/>
                <w:szCs w:val="18"/>
                <w:u w:val="none"/>
              </w:rPr>
            </w:pPr>
          </w:p>
        </w:tc>
        <w:tc>
          <w:tcPr>
            <w:tcW w:w="396" w:type="pct"/>
            <w:tcBorders>
              <w:top w:val="single" w:color="000000" w:sz="4" w:space="0"/>
              <w:left w:val="single" w:color="000000" w:sz="4" w:space="0"/>
              <w:bottom w:val="nil"/>
              <w:right w:val="single" w:color="000000" w:sz="4" w:space="0"/>
            </w:tcBorders>
            <w:shd w:val="clear" w:color="auto" w:fill="auto"/>
            <w:vAlign w:val="center"/>
          </w:tcPr>
          <w:p w14:paraId="2B323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01C6A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5" w:type="pct"/>
            <w:tcBorders>
              <w:top w:val="single" w:color="000000" w:sz="4" w:space="0"/>
              <w:left w:val="single" w:color="000000" w:sz="4" w:space="0"/>
              <w:bottom w:val="nil"/>
              <w:right w:val="single" w:color="000000" w:sz="4" w:space="0"/>
            </w:tcBorders>
            <w:shd w:val="clear" w:color="auto" w:fill="auto"/>
            <w:vAlign w:val="center"/>
          </w:tcPr>
          <w:p w14:paraId="1E69970B">
            <w:pPr>
              <w:jc w:val="center"/>
              <w:rPr>
                <w:rFonts w:hint="eastAsia"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CD90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7" w:type="pct"/>
            <w:tcBorders>
              <w:top w:val="single" w:color="000000" w:sz="4" w:space="0"/>
              <w:left w:val="single" w:color="000000" w:sz="4" w:space="0"/>
              <w:bottom w:val="nil"/>
              <w:right w:val="single" w:color="000000" w:sz="4" w:space="0"/>
            </w:tcBorders>
            <w:shd w:val="clear" w:color="auto" w:fill="auto"/>
            <w:vAlign w:val="center"/>
          </w:tcPr>
          <w:p w14:paraId="471EB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3C2EEB5E">
            <w:pPr>
              <w:jc w:val="center"/>
              <w:rPr>
                <w:rFonts w:hint="eastAsia" w:ascii="宋体" w:hAnsi="宋体" w:eastAsia="宋体" w:cs="宋体"/>
                <w:i w:val="0"/>
                <w:iCs w:val="0"/>
                <w:color w:val="000000"/>
                <w:sz w:val="18"/>
                <w:szCs w:val="18"/>
                <w:u w:val="none"/>
              </w:rPr>
            </w:pPr>
          </w:p>
        </w:tc>
      </w:tr>
      <w:tr w14:paraId="4682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36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49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8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9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11DA">
            <w:pPr>
              <w:jc w:val="center"/>
              <w:rPr>
                <w:rFonts w:hint="eastAsia" w:ascii="宋体" w:hAnsi="宋体" w:eastAsia="宋体" w:cs="宋体"/>
                <w:i w:val="0"/>
                <w:iCs w:val="0"/>
                <w:color w:val="000000"/>
                <w:sz w:val="18"/>
                <w:szCs w:val="18"/>
                <w:u w:val="none"/>
              </w:rPr>
            </w:pPr>
          </w:p>
        </w:tc>
      </w:tr>
    </w:tbl>
    <w:p w14:paraId="1738D7FA">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4.</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根河市国土空间生态修复规划项目自评综述：根据年初设定的绩效目标，项目自评得分100分。全年预算数为10万元，执行数为10万元，完成预算的100%。项目绩效目标完成情况：已完成。发现的主要问题及原因：无。下一步改进措施：无。</w:t>
      </w:r>
    </w:p>
    <w:p w14:paraId="1F2B7042">
      <w:pPr>
        <w:pStyle w:val="2"/>
        <w:numPr>
          <w:ilvl w:val="0"/>
          <w:numId w:val="0"/>
        </w:numPr>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773"/>
        <w:gridCol w:w="1236"/>
        <w:gridCol w:w="773"/>
        <w:gridCol w:w="679"/>
        <w:gridCol w:w="679"/>
        <w:gridCol w:w="773"/>
        <w:gridCol w:w="773"/>
        <w:gridCol w:w="774"/>
        <w:gridCol w:w="533"/>
        <w:gridCol w:w="756"/>
        <w:gridCol w:w="1435"/>
      </w:tblGrid>
      <w:tr w14:paraId="03C6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55162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56C4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EEF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7D3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根河市国土空间生态修复规划</w:t>
            </w:r>
          </w:p>
        </w:tc>
      </w:tr>
      <w:tr w14:paraId="5602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7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C4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56C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65D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2A43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E1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7AE2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65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D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FD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AC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B0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F6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800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EB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60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A7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F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56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0C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4F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0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E96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BC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88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1B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FC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3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826E">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71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A8FE">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F5F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3E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78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C969D">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05C1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2BA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7663">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123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C77C">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7125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F5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D2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32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1B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C8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D69E">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60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1BCA">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86D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B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44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1D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B99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3C73">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07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按照呼伦贝尔市自然资源局要求，编制根河市国土空间生态修复规划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3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2DB2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B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86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6D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B8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0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D7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20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7D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C6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11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3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55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ADC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465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491D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BAA1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1DE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798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00E0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CEC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EF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33DF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D65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07D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6E59A0">
            <w:pPr>
              <w:jc w:val="center"/>
              <w:rPr>
                <w:rFonts w:hint="eastAsia" w:ascii="宋体" w:hAnsi="宋体" w:eastAsia="宋体" w:cs="宋体"/>
                <w:i w:val="0"/>
                <w:iCs w:val="0"/>
                <w:color w:val="000000"/>
                <w:sz w:val="18"/>
                <w:szCs w:val="18"/>
                <w:u w:val="none"/>
              </w:rPr>
            </w:pPr>
          </w:p>
        </w:tc>
      </w:tr>
      <w:tr w14:paraId="1467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94BC92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B65EE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5C150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582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47B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6402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87D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4A3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9A48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E47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58E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34236F">
            <w:pPr>
              <w:jc w:val="center"/>
              <w:rPr>
                <w:rFonts w:hint="eastAsia" w:ascii="宋体" w:hAnsi="宋体" w:eastAsia="宋体" w:cs="宋体"/>
                <w:i w:val="0"/>
                <w:iCs w:val="0"/>
                <w:color w:val="000000"/>
                <w:sz w:val="18"/>
                <w:szCs w:val="18"/>
                <w:u w:val="none"/>
              </w:rPr>
            </w:pPr>
          </w:p>
        </w:tc>
      </w:tr>
      <w:tr w14:paraId="10E3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07BF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ADBF52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B3C4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AE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C93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43EE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A36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AD7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5411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276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FC3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76A464">
            <w:pPr>
              <w:jc w:val="center"/>
              <w:rPr>
                <w:rFonts w:hint="eastAsia" w:ascii="宋体" w:hAnsi="宋体" w:eastAsia="宋体" w:cs="宋体"/>
                <w:i w:val="0"/>
                <w:iCs w:val="0"/>
                <w:color w:val="000000"/>
                <w:sz w:val="18"/>
                <w:szCs w:val="18"/>
                <w:u w:val="none"/>
              </w:rPr>
            </w:pPr>
          </w:p>
        </w:tc>
      </w:tr>
      <w:tr w14:paraId="6881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84CB3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405E4F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141F2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C86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194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47A0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1C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6E0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B6F1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60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3C3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144E5B">
            <w:pPr>
              <w:jc w:val="center"/>
              <w:rPr>
                <w:rFonts w:hint="eastAsia" w:ascii="宋体" w:hAnsi="宋体" w:eastAsia="宋体" w:cs="宋体"/>
                <w:i w:val="0"/>
                <w:iCs w:val="0"/>
                <w:color w:val="000000"/>
                <w:sz w:val="18"/>
                <w:szCs w:val="18"/>
                <w:u w:val="none"/>
              </w:rPr>
            </w:pPr>
          </w:p>
        </w:tc>
      </w:tr>
      <w:tr w14:paraId="1432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4A8C87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42099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EBD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033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D83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1C41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AE2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8F5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DA69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387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1367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84E31C">
            <w:pPr>
              <w:jc w:val="center"/>
              <w:rPr>
                <w:rFonts w:hint="eastAsia" w:ascii="宋体" w:hAnsi="宋体" w:eastAsia="宋体" w:cs="宋体"/>
                <w:i w:val="0"/>
                <w:iCs w:val="0"/>
                <w:color w:val="000000"/>
                <w:sz w:val="18"/>
                <w:szCs w:val="18"/>
                <w:u w:val="none"/>
              </w:rPr>
            </w:pPr>
          </w:p>
        </w:tc>
      </w:tr>
      <w:tr w14:paraId="4B40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743191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49DE5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CD5B9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93C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FD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0ACD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2EF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BE1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CE48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4A1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61E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2FF828">
            <w:pPr>
              <w:jc w:val="center"/>
              <w:rPr>
                <w:rFonts w:hint="eastAsia" w:ascii="宋体" w:hAnsi="宋体" w:eastAsia="宋体" w:cs="宋体"/>
                <w:i w:val="0"/>
                <w:iCs w:val="0"/>
                <w:color w:val="000000"/>
                <w:sz w:val="18"/>
                <w:szCs w:val="18"/>
                <w:u w:val="none"/>
              </w:rPr>
            </w:pPr>
          </w:p>
        </w:tc>
      </w:tr>
      <w:tr w14:paraId="6C6A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745C84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037E4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0C13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65E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E86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7E7B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999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C85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B224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B11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1B3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BC7526">
            <w:pPr>
              <w:jc w:val="center"/>
              <w:rPr>
                <w:rFonts w:hint="eastAsia" w:ascii="宋体" w:hAnsi="宋体" w:eastAsia="宋体" w:cs="宋体"/>
                <w:i w:val="0"/>
                <w:iCs w:val="0"/>
                <w:color w:val="000000"/>
                <w:sz w:val="18"/>
                <w:szCs w:val="18"/>
                <w:u w:val="none"/>
              </w:rPr>
            </w:pPr>
          </w:p>
        </w:tc>
      </w:tr>
      <w:tr w14:paraId="1542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A1540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7F309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F1E6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70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EFB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E639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1D6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C06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0B02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2B4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C7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9987AD">
            <w:pPr>
              <w:jc w:val="center"/>
              <w:rPr>
                <w:rFonts w:hint="eastAsia" w:ascii="宋体" w:hAnsi="宋体" w:eastAsia="宋体" w:cs="宋体"/>
                <w:i w:val="0"/>
                <w:iCs w:val="0"/>
                <w:color w:val="000000"/>
                <w:sz w:val="18"/>
                <w:szCs w:val="18"/>
                <w:u w:val="none"/>
              </w:rPr>
            </w:pPr>
          </w:p>
        </w:tc>
      </w:tr>
      <w:tr w14:paraId="3F44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1B1DE9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0544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930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F52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5A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0D8B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AA9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19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A5DC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2A9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00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31E671">
            <w:pPr>
              <w:jc w:val="center"/>
              <w:rPr>
                <w:rFonts w:hint="eastAsia" w:ascii="宋体" w:hAnsi="宋体" w:eastAsia="宋体" w:cs="宋体"/>
                <w:i w:val="0"/>
                <w:iCs w:val="0"/>
                <w:color w:val="000000"/>
                <w:sz w:val="18"/>
                <w:szCs w:val="18"/>
                <w:u w:val="none"/>
              </w:rPr>
            </w:pPr>
          </w:p>
        </w:tc>
      </w:tr>
      <w:tr w14:paraId="3929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E1075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4CBC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52E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49D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BE7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0DDC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D2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74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BFBF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A0F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0ED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88C5CB">
            <w:pPr>
              <w:jc w:val="center"/>
              <w:rPr>
                <w:rFonts w:hint="eastAsia" w:ascii="宋体" w:hAnsi="宋体" w:eastAsia="宋体" w:cs="宋体"/>
                <w:i w:val="0"/>
                <w:iCs w:val="0"/>
                <w:color w:val="000000"/>
                <w:sz w:val="18"/>
                <w:szCs w:val="18"/>
                <w:u w:val="none"/>
              </w:rPr>
            </w:pPr>
          </w:p>
        </w:tc>
      </w:tr>
      <w:tr w14:paraId="0B6A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97B3DD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EEF2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4A9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B5E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6E3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775B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F7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48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A022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02A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9D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AFD3EC">
            <w:pPr>
              <w:jc w:val="center"/>
              <w:rPr>
                <w:rFonts w:hint="eastAsia" w:ascii="宋体" w:hAnsi="宋体" w:eastAsia="宋体" w:cs="宋体"/>
                <w:i w:val="0"/>
                <w:iCs w:val="0"/>
                <w:color w:val="000000"/>
                <w:sz w:val="18"/>
                <w:szCs w:val="18"/>
                <w:u w:val="none"/>
              </w:rPr>
            </w:pPr>
          </w:p>
        </w:tc>
      </w:tr>
      <w:tr w14:paraId="5B41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913D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0F9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EBA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872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DC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C526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BE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2A9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F2A3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176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265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7755CE">
            <w:pPr>
              <w:jc w:val="center"/>
              <w:rPr>
                <w:rFonts w:hint="eastAsia" w:ascii="宋体" w:hAnsi="宋体" w:eastAsia="宋体" w:cs="宋体"/>
                <w:i w:val="0"/>
                <w:iCs w:val="0"/>
                <w:color w:val="000000"/>
                <w:sz w:val="18"/>
                <w:szCs w:val="18"/>
                <w:u w:val="none"/>
              </w:rPr>
            </w:pPr>
          </w:p>
        </w:tc>
      </w:tr>
      <w:tr w14:paraId="39BF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343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E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D8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BA141">
            <w:pPr>
              <w:jc w:val="center"/>
              <w:rPr>
                <w:rFonts w:hint="eastAsia" w:ascii="宋体" w:hAnsi="宋体" w:eastAsia="宋体" w:cs="宋体"/>
                <w:i w:val="0"/>
                <w:iCs w:val="0"/>
                <w:color w:val="000000"/>
                <w:sz w:val="18"/>
                <w:szCs w:val="18"/>
                <w:u w:val="none"/>
              </w:rPr>
            </w:pPr>
          </w:p>
        </w:tc>
      </w:tr>
    </w:tbl>
    <w:p w14:paraId="500009A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default" w:ascii="Times New Roman" w:hAnsi="Times New Roman" w:eastAsia="仿宋_GB2312" w:cs="Times New Roman"/>
          <w:color w:val="000000"/>
          <w:kern w:val="0"/>
          <w:sz w:val="27"/>
          <w:szCs w:val="27"/>
        </w:rPr>
      </w:pPr>
    </w:p>
    <w:p w14:paraId="2E881DA7">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5.</w:t>
      </w:r>
      <w:r>
        <w:rPr>
          <w:rFonts w:hint="eastAsia" w:ascii="Times New Roman" w:hAnsi="Times New Roman" w:eastAsia="仿宋_GB2312" w:cs="Times New Roman"/>
          <w:color w:val="000000"/>
          <w:kern w:val="0"/>
          <w:sz w:val="30"/>
          <w:szCs w:val="30"/>
          <w:u w:color="auto"/>
          <w:lang w:val="en-US" w:eastAsia="zh-CN" w:bidi="ar-SA"/>
        </w:rPr>
        <w:t xml:space="preserve"> </w:t>
      </w:r>
      <w:r>
        <w:rPr>
          <w:rFonts w:hint="default" w:ascii="Times New Roman" w:hAnsi="Times New Roman" w:eastAsia="仿宋_GB2312" w:cs="Times New Roman"/>
          <w:color w:val="000000"/>
          <w:kern w:val="0"/>
          <w:sz w:val="30"/>
          <w:szCs w:val="30"/>
          <w:u w:color="auto"/>
          <w:lang w:val="en-US" w:eastAsia="zh-CN" w:bidi="ar-SA"/>
        </w:rPr>
        <w:t>根河市金河镇、得耳布尔镇国土空间规划项目自评综述：根据年初设定的绩效目标，项目自评得分100分。全年预算数为10万元，执行数为10万元，完成预算的100%。项目绩效目标完成情况：已完成。发现的主要问题及原因：无。下一步改进措施：无。</w:t>
      </w:r>
    </w:p>
    <w:p w14:paraId="2BDA5C57">
      <w:pPr>
        <w:pStyle w:val="2"/>
        <w:widowControl/>
        <w:numPr>
          <w:ilvl w:val="0"/>
          <w:numId w:val="0"/>
        </w:numPr>
        <w:jc w:val="both"/>
        <w:rPr>
          <w:rFonts w:hint="default"/>
          <w:lang w:val="en-US" w:eastAsia="zh-CN"/>
        </w:rPr>
      </w:pPr>
    </w:p>
    <w:p w14:paraId="5C49BB72">
      <w:pPr>
        <w:pStyle w:val="3"/>
        <w:rPr>
          <w:rFonts w:hint="default"/>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532"/>
        <w:gridCol w:w="1619"/>
        <w:gridCol w:w="1022"/>
        <w:gridCol w:w="909"/>
        <w:gridCol w:w="909"/>
        <w:gridCol w:w="1022"/>
        <w:gridCol w:w="533"/>
        <w:gridCol w:w="661"/>
        <w:gridCol w:w="503"/>
        <w:gridCol w:w="756"/>
        <w:gridCol w:w="900"/>
      </w:tblGrid>
      <w:tr w14:paraId="69AB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4B18B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1FF1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56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82A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根河市金河镇、得耳布尔镇国土空间规划、城市设计编制</w:t>
            </w:r>
          </w:p>
        </w:tc>
      </w:tr>
      <w:tr w14:paraId="5339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B69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C1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CF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98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5ABF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A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9239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3E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0F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2E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18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10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5CD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89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37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99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E7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1D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83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2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7E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9B9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C4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C8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D7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2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85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9551">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4B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ECB3">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FA2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7C3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27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2B6F5">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DEBF0">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9F4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382">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017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2F40">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50E9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EC4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7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6E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5F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6A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6B3C">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0A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76F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4102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27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BB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64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CCF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3FAA">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1A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要求，我市通过公开招标方式确定北京中元工程设计顾问有限公司和内蒙古汇晟自然资源技术服务有限公司为金河镇、得耳布尔镇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8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1038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AC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BC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5A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C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C9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56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A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FC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FF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7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A5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8B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4E1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82B3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CF7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AE74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F31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003C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B4AA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79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D97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8CEA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D61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B71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9BC0A9">
            <w:pPr>
              <w:jc w:val="center"/>
              <w:rPr>
                <w:rFonts w:hint="eastAsia" w:ascii="宋体" w:hAnsi="宋体" w:eastAsia="宋体" w:cs="宋体"/>
                <w:i w:val="0"/>
                <w:iCs w:val="0"/>
                <w:color w:val="000000"/>
                <w:sz w:val="18"/>
                <w:szCs w:val="18"/>
                <w:u w:val="none"/>
              </w:rPr>
            </w:pPr>
          </w:p>
        </w:tc>
      </w:tr>
      <w:tr w14:paraId="0B32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6714B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020A6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5530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213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127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F738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C30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B79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6881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8C5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F42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D746EE">
            <w:pPr>
              <w:jc w:val="center"/>
              <w:rPr>
                <w:rFonts w:hint="eastAsia" w:ascii="宋体" w:hAnsi="宋体" w:eastAsia="宋体" w:cs="宋体"/>
                <w:i w:val="0"/>
                <w:iCs w:val="0"/>
                <w:color w:val="000000"/>
                <w:sz w:val="18"/>
                <w:szCs w:val="18"/>
                <w:u w:val="none"/>
              </w:rPr>
            </w:pPr>
          </w:p>
        </w:tc>
      </w:tr>
      <w:tr w14:paraId="442F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4C593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4BA647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C184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FFD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CA8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FD13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B3A7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653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432E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8B0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E6B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2B6591">
            <w:pPr>
              <w:jc w:val="center"/>
              <w:rPr>
                <w:rFonts w:hint="eastAsia" w:ascii="宋体" w:hAnsi="宋体" w:eastAsia="宋体" w:cs="宋体"/>
                <w:i w:val="0"/>
                <w:iCs w:val="0"/>
                <w:color w:val="000000"/>
                <w:sz w:val="18"/>
                <w:szCs w:val="18"/>
                <w:u w:val="none"/>
              </w:rPr>
            </w:pPr>
          </w:p>
        </w:tc>
      </w:tr>
      <w:tr w14:paraId="4E42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C19B74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373207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8A0E36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B54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1C5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81E7A6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33F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342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0FA1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AC50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9E1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997087">
            <w:pPr>
              <w:jc w:val="center"/>
              <w:rPr>
                <w:rFonts w:hint="eastAsia" w:ascii="宋体" w:hAnsi="宋体" w:eastAsia="宋体" w:cs="宋体"/>
                <w:i w:val="0"/>
                <w:iCs w:val="0"/>
                <w:color w:val="000000"/>
                <w:sz w:val="18"/>
                <w:szCs w:val="18"/>
                <w:u w:val="none"/>
              </w:rPr>
            </w:pPr>
          </w:p>
        </w:tc>
      </w:tr>
      <w:tr w14:paraId="172D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00D9DE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64F6C8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B65B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3C0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5B5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11AA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292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4FE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78F9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A3A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4C8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E77201">
            <w:pPr>
              <w:jc w:val="center"/>
              <w:rPr>
                <w:rFonts w:hint="eastAsia" w:ascii="宋体" w:hAnsi="宋体" w:eastAsia="宋体" w:cs="宋体"/>
                <w:i w:val="0"/>
                <w:iCs w:val="0"/>
                <w:color w:val="000000"/>
                <w:sz w:val="18"/>
                <w:szCs w:val="18"/>
                <w:u w:val="none"/>
              </w:rPr>
            </w:pPr>
          </w:p>
        </w:tc>
      </w:tr>
      <w:tr w14:paraId="182F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9CE1A7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FFC108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59FEF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37F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C07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2904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987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4D5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1DAD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DB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8D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0C4900">
            <w:pPr>
              <w:jc w:val="center"/>
              <w:rPr>
                <w:rFonts w:hint="eastAsia" w:ascii="宋体" w:hAnsi="宋体" w:eastAsia="宋体" w:cs="宋体"/>
                <w:i w:val="0"/>
                <w:iCs w:val="0"/>
                <w:color w:val="000000"/>
                <w:sz w:val="18"/>
                <w:szCs w:val="18"/>
                <w:u w:val="none"/>
              </w:rPr>
            </w:pPr>
          </w:p>
        </w:tc>
      </w:tr>
      <w:tr w14:paraId="0007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5AD47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5EE819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72AE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544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FE7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771D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26D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59D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B1EF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11E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F57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FC5FA9">
            <w:pPr>
              <w:jc w:val="center"/>
              <w:rPr>
                <w:rFonts w:hint="eastAsia" w:ascii="宋体" w:hAnsi="宋体" w:eastAsia="宋体" w:cs="宋体"/>
                <w:i w:val="0"/>
                <w:iCs w:val="0"/>
                <w:color w:val="000000"/>
                <w:sz w:val="18"/>
                <w:szCs w:val="18"/>
                <w:u w:val="none"/>
              </w:rPr>
            </w:pPr>
          </w:p>
        </w:tc>
      </w:tr>
      <w:tr w14:paraId="5F50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DB31E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43F436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89693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213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874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B080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401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1CC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1951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173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54B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680CD88">
            <w:pPr>
              <w:jc w:val="center"/>
              <w:rPr>
                <w:rFonts w:hint="eastAsia" w:ascii="宋体" w:hAnsi="宋体" w:eastAsia="宋体" w:cs="宋体"/>
                <w:i w:val="0"/>
                <w:iCs w:val="0"/>
                <w:color w:val="000000"/>
                <w:sz w:val="18"/>
                <w:szCs w:val="18"/>
                <w:u w:val="none"/>
              </w:rPr>
            </w:pPr>
          </w:p>
        </w:tc>
      </w:tr>
      <w:tr w14:paraId="2A22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6B315E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1660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965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CCC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425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252C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3B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2C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7EE5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B66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B26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9DB09B">
            <w:pPr>
              <w:jc w:val="center"/>
              <w:rPr>
                <w:rFonts w:hint="eastAsia" w:ascii="宋体" w:hAnsi="宋体" w:eastAsia="宋体" w:cs="宋体"/>
                <w:i w:val="0"/>
                <w:iCs w:val="0"/>
                <w:color w:val="000000"/>
                <w:sz w:val="18"/>
                <w:szCs w:val="18"/>
                <w:u w:val="none"/>
              </w:rPr>
            </w:pPr>
          </w:p>
        </w:tc>
      </w:tr>
      <w:tr w14:paraId="5644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9C73D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CB658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F1B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78C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8BC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6721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468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5D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62BB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5F8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D7A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834537">
            <w:pPr>
              <w:jc w:val="center"/>
              <w:rPr>
                <w:rFonts w:hint="eastAsia" w:ascii="宋体" w:hAnsi="宋体" w:eastAsia="宋体" w:cs="宋体"/>
                <w:i w:val="0"/>
                <w:iCs w:val="0"/>
                <w:color w:val="000000"/>
                <w:sz w:val="18"/>
                <w:szCs w:val="18"/>
                <w:u w:val="none"/>
              </w:rPr>
            </w:pPr>
          </w:p>
        </w:tc>
      </w:tr>
      <w:tr w14:paraId="2038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96EB7E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59F62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290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745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A8A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CE96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F84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ACC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0EDC0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C82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6A4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8B4CE4">
            <w:pPr>
              <w:jc w:val="center"/>
              <w:rPr>
                <w:rFonts w:hint="eastAsia" w:ascii="宋体" w:hAnsi="宋体" w:eastAsia="宋体" w:cs="宋体"/>
                <w:i w:val="0"/>
                <w:iCs w:val="0"/>
                <w:color w:val="000000"/>
                <w:sz w:val="18"/>
                <w:szCs w:val="18"/>
                <w:u w:val="none"/>
              </w:rPr>
            </w:pPr>
          </w:p>
        </w:tc>
      </w:tr>
      <w:tr w14:paraId="210E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6CB0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A69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246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48E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AFC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B473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B3BF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48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E94F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31BD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C8A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4E8E40">
            <w:pPr>
              <w:jc w:val="center"/>
              <w:rPr>
                <w:rFonts w:hint="eastAsia" w:ascii="宋体" w:hAnsi="宋体" w:eastAsia="宋体" w:cs="宋体"/>
                <w:i w:val="0"/>
                <w:iCs w:val="0"/>
                <w:color w:val="000000"/>
                <w:sz w:val="18"/>
                <w:szCs w:val="18"/>
                <w:u w:val="none"/>
              </w:rPr>
            </w:pPr>
          </w:p>
        </w:tc>
      </w:tr>
      <w:tr w14:paraId="1EE6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1EF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BB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AE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D349B">
            <w:pPr>
              <w:jc w:val="center"/>
              <w:rPr>
                <w:rFonts w:hint="eastAsia" w:ascii="宋体" w:hAnsi="宋体" w:eastAsia="宋体" w:cs="宋体"/>
                <w:i w:val="0"/>
                <w:iCs w:val="0"/>
                <w:color w:val="000000"/>
                <w:sz w:val="18"/>
                <w:szCs w:val="18"/>
                <w:u w:val="none"/>
              </w:rPr>
            </w:pPr>
          </w:p>
        </w:tc>
      </w:tr>
    </w:tbl>
    <w:p w14:paraId="3AF8117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p>
    <w:p w14:paraId="0B38C6C7">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000000"/>
          <w:kern w:val="0"/>
          <w:sz w:val="30"/>
          <w:szCs w:val="30"/>
          <w:u w:val="none" w:color="auto"/>
        </w:rPr>
      </w:pPr>
      <w:r>
        <w:rPr>
          <w:rFonts w:hint="default" w:ascii="Times New Roman" w:hAnsi="Times New Roman" w:eastAsia="仿宋_GB2312" w:cs="Times New Roman"/>
          <w:color w:val="000000"/>
          <w:kern w:val="0"/>
          <w:sz w:val="30"/>
          <w:szCs w:val="30"/>
          <w:u w:val="none" w:color="auto"/>
        </w:rPr>
        <w:t>    （三）部门项目绩效评价结果。</w:t>
      </w:r>
    </w:p>
    <w:p w14:paraId="24E60ECD">
      <w:pPr>
        <w:keepNext w:val="0"/>
        <w:keepLines w:val="0"/>
        <w:pageBreakBefore w:val="0"/>
        <w:widowControl/>
        <w:numPr>
          <w:ilvl w:val="0"/>
          <w:numId w:val="0"/>
        </w:numPr>
        <w:kinsoku/>
        <w:wordWrap/>
        <w:overflowPunct/>
        <w:topLinePunct w:val="0"/>
        <w:autoSpaceDE/>
        <w:autoSpaceDN/>
        <w:bidi w:val="0"/>
        <w:adjustRightInd/>
        <w:snapToGrid/>
        <w:ind w:left="0" w:leftChars="0" w:firstLine="600" w:firstLineChars="200"/>
        <w:textAlignment w:val="auto"/>
        <w:rPr>
          <w:rFonts w:hint="default" w:ascii="Times New Roman" w:hAnsi="Times New Roman" w:eastAsia="仿宋_GB2312" w:cs="Times New Roman"/>
          <w:color w:val="000000"/>
          <w:kern w:val="0"/>
          <w:sz w:val="30"/>
          <w:szCs w:val="30"/>
          <w:u w:color="auto"/>
          <w:lang w:val="en-US" w:eastAsia="zh-CN" w:bidi="ar-SA"/>
        </w:rPr>
      </w:pPr>
      <w:r>
        <w:rPr>
          <w:rFonts w:hint="default" w:ascii="Times New Roman" w:hAnsi="Times New Roman" w:eastAsia="仿宋_GB2312" w:cs="Times New Roman"/>
          <w:color w:val="000000"/>
          <w:kern w:val="0"/>
          <w:sz w:val="30"/>
          <w:szCs w:val="30"/>
          <w:u w:color="auto"/>
          <w:lang w:val="en-US" w:eastAsia="zh-CN" w:bidi="ar-SA"/>
        </w:rPr>
        <w:t> 以根河市中心城区详细规划和敖鲁古雅国土空间规划项目为例，该项目绩效评价综合得分为100分，绩效评价结果为“优”。部门项目绩效评价得分情况详见部门具体绩效评价结果。</w:t>
      </w:r>
    </w:p>
    <w:p w14:paraId="5B8FEC1E">
      <w:pPr>
        <w:pStyle w:val="2"/>
        <w:rPr>
          <w:rFonts w:hint="default"/>
          <w:lang w:val="en-US" w:eastAsia="zh-CN"/>
        </w:rPr>
      </w:pPr>
    </w:p>
    <w:p w14:paraId="7F5F175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宋体" w:hAnsi="宋体" w:eastAsia="宋体" w:cs="宋体"/>
          <w:sz w:val="44"/>
          <w:szCs w:val="44"/>
        </w:rPr>
        <w:t>2024年</w:t>
      </w:r>
      <w:r>
        <w:rPr>
          <w:rFonts w:hint="eastAsia" w:ascii="宋体" w:hAnsi="宋体" w:eastAsia="宋体" w:cs="宋体"/>
          <w:sz w:val="44"/>
          <w:szCs w:val="44"/>
          <w:lang w:val="en-US" w:eastAsia="zh-CN"/>
        </w:rPr>
        <w:t>度</w:t>
      </w:r>
      <w:r>
        <w:rPr>
          <w:rFonts w:hint="eastAsia" w:ascii="宋体" w:hAnsi="宋体" w:eastAsia="宋体" w:cs="宋体"/>
          <w:sz w:val="44"/>
          <w:szCs w:val="44"/>
        </w:rPr>
        <w:t>根河市中心城区详细规划和敖鲁古雅乡国土空间规划、城市设计编制项目绩效自评报告</w:t>
      </w:r>
    </w:p>
    <w:p w14:paraId="6CED0026">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eastAsia"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一、基本情况</w:t>
      </w:r>
    </w:p>
    <w:p w14:paraId="470CAA72">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rPr>
      </w:pPr>
      <w:r>
        <w:rPr>
          <w:rFonts w:hint="default" w:ascii="Times New Roman Regular" w:hAnsi="Times New Roman Regular" w:eastAsia="仿宋" w:cs="Times New Roman Regular"/>
          <w:b/>
          <w:bCs/>
          <w:kern w:val="2"/>
          <w:sz w:val="32"/>
          <w:szCs w:val="32"/>
        </w:rPr>
        <w:t>（一）项目概况。</w:t>
      </w:r>
    </w:p>
    <w:p w14:paraId="71B6E5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根据内蒙古自治区自然资源厅《关于进一步做好国土空间规划编制工作的通知》，根河市通过公开招标方式确定呼伦贝尔市同创规划设计咨询有限公司为根河市中心城区和敖鲁古雅乡国土空间规划、城市设计编制单位。项目资金年初预算0万元，年度调整后为10万元（均为财政拨款），全年执行数10万元，执行率100%，资金已全部支出，项目已完成相关规划编制工作。</w:t>
      </w:r>
    </w:p>
    <w:p w14:paraId="347B3E16">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二</w:t>
      </w:r>
      <w:r>
        <w:rPr>
          <w:rFonts w:hint="default" w:ascii="Times New Roman Regular" w:hAnsi="Times New Roman Regular" w:eastAsia="仿宋" w:cs="Times New Roman Regular"/>
          <w:b/>
          <w:bCs/>
          <w:kern w:val="2"/>
          <w:sz w:val="32"/>
          <w:szCs w:val="32"/>
        </w:rPr>
        <w:t>）项目绩效目标。</w:t>
      </w:r>
    </w:p>
    <w:p w14:paraId="2D6C7B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b/>
          <w:bCs/>
          <w:kern w:val="2"/>
          <w:sz w:val="32"/>
          <w:szCs w:val="32"/>
          <w:lang w:val="en-US" w:eastAsia="zh-CN"/>
        </w:rPr>
        <w:t>总体目标：</w:t>
      </w:r>
      <w:r>
        <w:rPr>
          <w:rFonts w:hint="default" w:ascii="Times New Roman" w:hAnsi="Times New Roman" w:eastAsia="仿宋" w:cs="Times New Roman"/>
          <w:kern w:val="2"/>
          <w:sz w:val="32"/>
          <w:szCs w:val="32"/>
          <w:lang w:val="en-US" w:eastAsia="zh-CN"/>
        </w:rPr>
        <w:t>完成根河市中心城区详细规划、敖鲁古雅乡国土空间规划及城市设计编制，落实自治区国土空间规划编制工作要求，规范区域空间开发利用。</w:t>
      </w:r>
    </w:p>
    <w:p w14:paraId="263598F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b/>
          <w:bCs/>
          <w:kern w:val="2"/>
          <w:sz w:val="32"/>
          <w:szCs w:val="32"/>
          <w:lang w:val="en-US" w:eastAsia="zh-CN"/>
        </w:rPr>
        <w:t>阶段性目标：</w:t>
      </w:r>
      <w:r>
        <w:rPr>
          <w:rFonts w:hint="default" w:ascii="Times New Roman" w:hAnsi="Times New Roman" w:eastAsia="仿宋" w:cs="Times New Roman"/>
          <w:kern w:val="2"/>
          <w:sz w:val="32"/>
          <w:szCs w:val="32"/>
          <w:lang w:val="en-US" w:eastAsia="zh-CN"/>
        </w:rPr>
        <w:t>2024年度内完成规划编制相关委托业务，确保资金规范使用、项目高效推进，达成各项目标指标。</w:t>
      </w:r>
    </w:p>
    <w:p w14:paraId="45306BC3">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eastAsia"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二、绩效自评工作情况</w:t>
      </w:r>
    </w:p>
    <w:p w14:paraId="5A40E64E">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rPr>
      </w:pP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一</w:t>
      </w:r>
      <w:r>
        <w:rPr>
          <w:rFonts w:hint="default" w:ascii="Times New Roman Regular" w:hAnsi="Times New Roman Regular" w:eastAsia="仿宋" w:cs="Times New Roman Regular"/>
          <w:b/>
          <w:bCs/>
          <w:kern w:val="2"/>
          <w:sz w:val="32"/>
          <w:szCs w:val="32"/>
        </w:rPr>
        <w:t>）绩效评价目的、对象和范围。</w:t>
      </w:r>
    </w:p>
    <w:p w14:paraId="2CE402C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目的：</w:t>
      </w:r>
      <w:r>
        <w:rPr>
          <w:rFonts w:hint="default" w:ascii="Times New Roman" w:hAnsi="Times New Roman" w:eastAsia="仿宋" w:cs="Times New Roman"/>
          <w:kern w:val="2"/>
          <w:sz w:val="32"/>
          <w:szCs w:val="32"/>
        </w:rPr>
        <w:t>建立全过程预算绩效管理体系，加强项目资金管理，规范支出流程，为后续财政专项资金投入提供参考。</w:t>
      </w:r>
    </w:p>
    <w:p w14:paraId="60D56C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对象</w:t>
      </w:r>
      <w:r>
        <w:rPr>
          <w:rFonts w:hint="default" w:ascii="Times New Roman" w:hAnsi="Times New Roman" w:eastAsia="仿宋" w:cs="Times New Roman"/>
          <w:b/>
          <w:bCs/>
          <w:kern w:val="2"/>
          <w:sz w:val="32"/>
          <w:szCs w:val="32"/>
          <w:lang w:eastAsia="zh-CN"/>
        </w:rPr>
        <w:t>和</w:t>
      </w:r>
      <w:r>
        <w:rPr>
          <w:rFonts w:hint="default" w:ascii="Times New Roman" w:hAnsi="Times New Roman" w:eastAsia="仿宋" w:cs="Times New Roman"/>
          <w:b/>
          <w:bCs/>
          <w:kern w:val="2"/>
          <w:sz w:val="32"/>
          <w:szCs w:val="32"/>
        </w:rPr>
        <w:t>范围：</w:t>
      </w:r>
      <w:r>
        <w:rPr>
          <w:rFonts w:hint="default" w:ascii="Times New Roman" w:hAnsi="Times New Roman" w:eastAsia="仿宋" w:cs="Times New Roman"/>
          <w:kern w:val="2"/>
          <w:sz w:val="32"/>
          <w:szCs w:val="32"/>
        </w:rPr>
        <w:t>2024年度根河市中心城区详细规划和敖鲁古雅乡国土空间规划、城市设计编制项目</w:t>
      </w:r>
      <w:r>
        <w:rPr>
          <w:rFonts w:hint="default" w:ascii="Times New Roman" w:hAnsi="Times New Roman" w:eastAsia="仿宋" w:cs="Times New Roman"/>
          <w:kern w:val="2"/>
          <w:sz w:val="32"/>
          <w:szCs w:val="32"/>
          <w:lang w:eastAsia="zh-CN"/>
        </w:rPr>
        <w:t>的</w:t>
      </w:r>
      <w:r>
        <w:rPr>
          <w:rFonts w:hint="default" w:ascii="Times New Roman" w:hAnsi="Times New Roman" w:eastAsia="仿宋" w:cs="Times New Roman"/>
          <w:kern w:val="2"/>
          <w:sz w:val="32"/>
          <w:szCs w:val="32"/>
        </w:rPr>
        <w:t>立项实施、资金投入使用、产出成果及效益实现等全流程。</w:t>
      </w:r>
    </w:p>
    <w:p w14:paraId="14FC7CF8">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eastAsia" w:ascii="Times New Roman Regular" w:hAnsi="Times New Roman Regular" w:eastAsia="仿宋" w:cs="Times New Roman Regular"/>
          <w:b/>
          <w:bCs/>
          <w:kern w:val="2"/>
          <w:sz w:val="32"/>
          <w:szCs w:val="32"/>
        </w:rPr>
      </w:pPr>
      <w:r>
        <w:rPr>
          <w:rFonts w:hint="eastAsia"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val="en-US" w:eastAsia="zh-CN"/>
        </w:rPr>
        <w:t>二</w:t>
      </w:r>
      <w:r>
        <w:rPr>
          <w:rFonts w:hint="eastAsia" w:ascii="Times New Roman Regular" w:hAnsi="Times New Roman Regular" w:eastAsia="仿宋" w:cs="Times New Roman Regular"/>
          <w:b/>
          <w:bCs/>
          <w:kern w:val="2"/>
          <w:sz w:val="32"/>
          <w:szCs w:val="32"/>
        </w:rPr>
        <w:t>）评价原则、评价指标体系</w:t>
      </w:r>
      <w:r>
        <w:rPr>
          <w:rFonts w:hint="eastAsia" w:ascii="Times New Roman Regular" w:hAnsi="Times New Roman Regular" w:eastAsia="仿宋" w:cs="Times New Roman Regular"/>
          <w:b/>
          <w:bCs/>
          <w:kern w:val="2"/>
          <w:sz w:val="32"/>
          <w:szCs w:val="32"/>
          <w:lang w:eastAsia="zh-CN"/>
        </w:rPr>
        <w:t>、</w:t>
      </w:r>
      <w:r>
        <w:rPr>
          <w:rFonts w:hint="eastAsia" w:ascii="Times New Roman Regular" w:hAnsi="Times New Roman Regular" w:eastAsia="仿宋" w:cs="Times New Roman Regular"/>
          <w:b/>
          <w:bCs/>
          <w:kern w:val="2"/>
          <w:sz w:val="32"/>
          <w:szCs w:val="32"/>
        </w:rPr>
        <w:t>评价方法</w:t>
      </w:r>
      <w:r>
        <w:rPr>
          <w:rFonts w:hint="eastAsia" w:ascii="Times New Roman Regular" w:hAnsi="Times New Roman Regular" w:eastAsia="仿宋" w:cs="Times New Roman Regular"/>
          <w:b/>
          <w:bCs/>
          <w:kern w:val="2"/>
          <w:sz w:val="32"/>
          <w:szCs w:val="32"/>
          <w:lang w:eastAsia="zh-CN"/>
        </w:rPr>
        <w:t>和标准</w:t>
      </w:r>
      <w:r>
        <w:rPr>
          <w:rFonts w:hint="eastAsia" w:ascii="Times New Roman Regular" w:hAnsi="Times New Roman Regular" w:eastAsia="仿宋" w:cs="Times New Roman Regular"/>
          <w:b/>
          <w:bCs/>
          <w:kern w:val="2"/>
          <w:sz w:val="32"/>
          <w:szCs w:val="32"/>
        </w:rPr>
        <w:t>。</w:t>
      </w:r>
    </w:p>
    <w:p w14:paraId="3275E6A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评价原则：</w:t>
      </w:r>
      <w:r>
        <w:rPr>
          <w:rFonts w:hint="default" w:ascii="Times New Roman" w:hAnsi="Times New Roman" w:eastAsia="仿宋" w:cs="Times New Roman"/>
          <w:kern w:val="2"/>
          <w:sz w:val="32"/>
          <w:szCs w:val="32"/>
        </w:rPr>
        <w:t>（1）科学规范原则。此次绩效评价工作严格执行《财政支出绩效评价管理暂行办法》（财预〔2011〕285 号）及内蒙古自治区预算绩效管理工作的相关要求与程序，按照科学可行的原则，设计绩效评价工作实施方案，采取定量分析与定性分析相结合的评价方法。（2）绩效相关原则。此次绩效评价工作重点针对项目实施绩效进行评价，绩效评价工作将紧扣绩效，以评价绩效为主，评价结果将清晰地反映项目实施实现的综合效果。</w:t>
      </w:r>
    </w:p>
    <w:p w14:paraId="5BCCA84D">
      <w:pPr>
        <w:pStyle w:val="2"/>
        <w:rPr>
          <w:rFonts w:hint="default"/>
        </w:rPr>
      </w:pPr>
    </w:p>
    <w:p w14:paraId="1162BA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评价指标体系：</w:t>
      </w:r>
      <w:r>
        <w:rPr>
          <w:rFonts w:hint="eastAsia" w:eastAsia="仿宋" w:cs="Times New Roman"/>
          <w:kern w:val="2"/>
          <w:sz w:val="32"/>
          <w:szCs w:val="32"/>
          <w:lang w:eastAsia="zh-CN"/>
        </w:rPr>
        <w:t>如下表所示</w:t>
      </w:r>
      <w:r>
        <w:rPr>
          <w:rFonts w:hint="default" w:ascii="Times New Roman" w:hAnsi="Times New Roman" w:eastAsia="仿宋" w:cs="Times New Roman"/>
          <w:kern w:val="2"/>
          <w:sz w:val="32"/>
          <w:szCs w:val="32"/>
        </w:rPr>
        <w:t>。</w:t>
      </w:r>
    </w:p>
    <w:p w14:paraId="508845D1">
      <w:pPr>
        <w:pStyle w:val="2"/>
        <w:rPr>
          <w:rFonts w:hint="default"/>
        </w:rPr>
      </w:pPr>
    </w:p>
    <w:p w14:paraId="46D4F40D">
      <w:pPr>
        <w:pStyle w:val="3"/>
        <w:rPr>
          <w:rFonts w:hint="default"/>
        </w:rPr>
      </w:pPr>
    </w:p>
    <w:p w14:paraId="2DD1601E">
      <w:pPr>
        <w:pStyle w:val="3"/>
        <w:rPr>
          <w:rFonts w:hint="eastAsia"/>
          <w:lang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810"/>
        <w:gridCol w:w="1300"/>
        <w:gridCol w:w="810"/>
        <w:gridCol w:w="706"/>
        <w:gridCol w:w="706"/>
        <w:gridCol w:w="810"/>
        <w:gridCol w:w="810"/>
        <w:gridCol w:w="706"/>
        <w:gridCol w:w="553"/>
        <w:gridCol w:w="515"/>
        <w:gridCol w:w="1431"/>
      </w:tblGrid>
      <w:tr w14:paraId="577F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15C90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365D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3A8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F72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B1B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F0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CC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6B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6E6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D13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8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F5E5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0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2E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0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9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A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6F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069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7B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89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EC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66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5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1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3D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B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4D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FC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DD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78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8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2D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E47">
            <w:pPr>
              <w:keepNext w:val="0"/>
              <w:keepLines w:val="0"/>
              <w:widowControl/>
              <w:suppressLineNumbers w:val="0"/>
              <w:jc w:val="center"/>
              <w:textAlignment w:val="center"/>
              <w:rPr>
                <w:rFonts w:ascii="Arial" w:hAnsi="Arial" w:eastAsia="宋体" w:cs="Arial"/>
                <w:i w:val="0"/>
                <w:iCs w:val="0"/>
                <w:color w:val="222222"/>
                <w:sz w:val="19"/>
                <w:szCs w:val="19"/>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93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F2E1">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r>
      <w:tr w14:paraId="4857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51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C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7C144">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41E9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C2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104">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25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CDA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r>
      <w:tr w14:paraId="5FEC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7D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1B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D8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D4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AE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A4B5">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00B">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p>
        </w:tc>
      </w:tr>
      <w:tr w14:paraId="4C45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3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70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6F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716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3D87">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7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81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5A28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A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0F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98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0A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6F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1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D5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E9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6B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AE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74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91F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7193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B541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C77A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F45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97D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58EF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3EB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5CB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E853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3E6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15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C04233">
            <w:pPr>
              <w:jc w:val="center"/>
              <w:rPr>
                <w:rFonts w:hint="eastAsia" w:ascii="宋体" w:hAnsi="宋体" w:eastAsia="宋体" w:cs="宋体"/>
                <w:i w:val="0"/>
                <w:iCs w:val="0"/>
                <w:color w:val="000000"/>
                <w:sz w:val="18"/>
                <w:szCs w:val="18"/>
                <w:u w:val="none"/>
              </w:rPr>
            </w:pPr>
          </w:p>
        </w:tc>
      </w:tr>
      <w:tr w14:paraId="4D26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73EFD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C750E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DBC6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710B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5E5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2CA2E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EE1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B97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EAA77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7E6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AD56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1CC3CF">
            <w:pPr>
              <w:jc w:val="center"/>
              <w:rPr>
                <w:rFonts w:hint="eastAsia" w:ascii="宋体" w:hAnsi="宋体" w:eastAsia="宋体" w:cs="宋体"/>
                <w:i w:val="0"/>
                <w:iCs w:val="0"/>
                <w:color w:val="000000"/>
                <w:sz w:val="18"/>
                <w:szCs w:val="18"/>
                <w:u w:val="none"/>
              </w:rPr>
            </w:pPr>
          </w:p>
        </w:tc>
      </w:tr>
      <w:tr w14:paraId="124B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7C27C9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172EC3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C9B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5B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E2A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7A30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90C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281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AE26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014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A57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0A6F8A">
            <w:pPr>
              <w:jc w:val="center"/>
              <w:rPr>
                <w:rFonts w:hint="eastAsia" w:ascii="宋体" w:hAnsi="宋体" w:eastAsia="宋体" w:cs="宋体"/>
                <w:i w:val="0"/>
                <w:iCs w:val="0"/>
                <w:color w:val="000000"/>
                <w:sz w:val="18"/>
                <w:szCs w:val="18"/>
                <w:u w:val="none"/>
              </w:rPr>
            </w:pPr>
          </w:p>
        </w:tc>
      </w:tr>
      <w:tr w14:paraId="2D41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5FDC03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C1CDA6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67FBB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BDB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3D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8FE0BC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07C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0E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F60E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EA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92A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C3B7BB">
            <w:pPr>
              <w:jc w:val="center"/>
              <w:rPr>
                <w:rFonts w:hint="eastAsia" w:ascii="宋体" w:hAnsi="宋体" w:eastAsia="宋体" w:cs="宋体"/>
                <w:i w:val="0"/>
                <w:iCs w:val="0"/>
                <w:color w:val="000000"/>
                <w:sz w:val="18"/>
                <w:szCs w:val="18"/>
                <w:u w:val="none"/>
              </w:rPr>
            </w:pPr>
          </w:p>
        </w:tc>
      </w:tr>
      <w:tr w14:paraId="776F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DFC6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D8AC80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41B8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E20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833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987F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CD1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7F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31E8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37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5D39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AC135C0">
            <w:pPr>
              <w:jc w:val="center"/>
              <w:rPr>
                <w:rFonts w:hint="eastAsia" w:ascii="宋体" w:hAnsi="宋体" w:eastAsia="宋体" w:cs="宋体"/>
                <w:i w:val="0"/>
                <w:iCs w:val="0"/>
                <w:color w:val="000000"/>
                <w:sz w:val="18"/>
                <w:szCs w:val="18"/>
                <w:u w:val="none"/>
              </w:rPr>
            </w:pPr>
          </w:p>
        </w:tc>
      </w:tr>
      <w:tr w14:paraId="0898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2F737E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D78D18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D6B4E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FEE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7B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2BA6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5C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D7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7477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651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CF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4FA6B9">
            <w:pPr>
              <w:jc w:val="center"/>
              <w:rPr>
                <w:rFonts w:hint="eastAsia" w:ascii="宋体" w:hAnsi="宋体" w:eastAsia="宋体" w:cs="宋体"/>
                <w:i w:val="0"/>
                <w:iCs w:val="0"/>
                <w:color w:val="000000"/>
                <w:sz w:val="18"/>
                <w:szCs w:val="18"/>
                <w:u w:val="none"/>
              </w:rPr>
            </w:pPr>
          </w:p>
        </w:tc>
      </w:tr>
      <w:tr w14:paraId="5D0D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652CF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A3D70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155C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AFA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28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0C634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9E4E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DC5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E141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7F3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DB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1C97A2">
            <w:pPr>
              <w:jc w:val="center"/>
              <w:rPr>
                <w:rFonts w:hint="eastAsia" w:ascii="宋体" w:hAnsi="宋体" w:eastAsia="宋体" w:cs="宋体"/>
                <w:i w:val="0"/>
                <w:iCs w:val="0"/>
                <w:color w:val="000000"/>
                <w:sz w:val="18"/>
                <w:szCs w:val="18"/>
                <w:u w:val="none"/>
              </w:rPr>
            </w:pPr>
          </w:p>
        </w:tc>
      </w:tr>
      <w:tr w14:paraId="10C0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500BBE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DA662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49F39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DB87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FDF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3547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4D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82C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C445C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2F4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85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1412C90">
            <w:pPr>
              <w:jc w:val="center"/>
              <w:rPr>
                <w:rFonts w:hint="eastAsia" w:ascii="宋体" w:hAnsi="宋体" w:eastAsia="宋体" w:cs="宋体"/>
                <w:i w:val="0"/>
                <w:iCs w:val="0"/>
                <w:color w:val="000000"/>
                <w:sz w:val="18"/>
                <w:szCs w:val="18"/>
                <w:u w:val="none"/>
              </w:rPr>
            </w:pPr>
          </w:p>
        </w:tc>
      </w:tr>
      <w:tr w14:paraId="6CAF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120F2A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BD02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5A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C63A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270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B8E1A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5C8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355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6B722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4B4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FE5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0DC8CF">
            <w:pPr>
              <w:jc w:val="center"/>
              <w:rPr>
                <w:rFonts w:hint="eastAsia" w:ascii="宋体" w:hAnsi="宋体" w:eastAsia="宋体" w:cs="宋体"/>
                <w:i w:val="0"/>
                <w:iCs w:val="0"/>
                <w:color w:val="000000"/>
                <w:sz w:val="18"/>
                <w:szCs w:val="18"/>
                <w:u w:val="none"/>
              </w:rPr>
            </w:pPr>
          </w:p>
        </w:tc>
      </w:tr>
      <w:tr w14:paraId="11F6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17F6A8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425E1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78A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79B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62CC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9A66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A22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B94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8F63F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458F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BA6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712711">
            <w:pPr>
              <w:jc w:val="center"/>
              <w:rPr>
                <w:rFonts w:hint="eastAsia" w:ascii="宋体" w:hAnsi="宋体" w:eastAsia="宋体" w:cs="宋体"/>
                <w:i w:val="0"/>
                <w:iCs w:val="0"/>
                <w:color w:val="000000"/>
                <w:sz w:val="18"/>
                <w:szCs w:val="18"/>
                <w:u w:val="none"/>
              </w:rPr>
            </w:pPr>
          </w:p>
        </w:tc>
      </w:tr>
      <w:tr w14:paraId="6634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7E0D9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7BF51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8A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5CA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2CE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9E601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004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C39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4596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25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3B4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BE30CF9">
            <w:pPr>
              <w:jc w:val="center"/>
              <w:rPr>
                <w:rFonts w:hint="eastAsia" w:ascii="宋体" w:hAnsi="宋体" w:eastAsia="宋体" w:cs="宋体"/>
                <w:i w:val="0"/>
                <w:iCs w:val="0"/>
                <w:color w:val="000000"/>
                <w:sz w:val="18"/>
                <w:szCs w:val="18"/>
                <w:u w:val="none"/>
              </w:rPr>
            </w:pPr>
          </w:p>
        </w:tc>
      </w:tr>
      <w:tr w14:paraId="2340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5098B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2615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7CDC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D53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EA8E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0C04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FFE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E6B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0CCE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53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328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C7802C">
            <w:pPr>
              <w:jc w:val="center"/>
              <w:rPr>
                <w:rFonts w:hint="eastAsia" w:ascii="宋体" w:hAnsi="宋体" w:eastAsia="宋体" w:cs="宋体"/>
                <w:i w:val="0"/>
                <w:iCs w:val="0"/>
                <w:color w:val="000000"/>
                <w:sz w:val="18"/>
                <w:szCs w:val="18"/>
                <w:u w:val="none"/>
              </w:rPr>
            </w:pPr>
          </w:p>
        </w:tc>
      </w:tr>
      <w:tr w14:paraId="2371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EDB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F8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D8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99D95">
            <w:pPr>
              <w:jc w:val="center"/>
              <w:rPr>
                <w:rFonts w:hint="eastAsia" w:ascii="宋体" w:hAnsi="宋体" w:eastAsia="宋体" w:cs="宋体"/>
                <w:i w:val="0"/>
                <w:iCs w:val="0"/>
                <w:color w:val="000000"/>
                <w:sz w:val="18"/>
                <w:szCs w:val="18"/>
                <w:u w:val="none"/>
              </w:rPr>
            </w:pPr>
          </w:p>
        </w:tc>
      </w:tr>
    </w:tbl>
    <w:p w14:paraId="7AC9216D">
      <w:pPr>
        <w:pStyle w:val="2"/>
        <w:rPr>
          <w:rFonts w:hint="eastAsia"/>
          <w:lang w:eastAsia="zh-CN"/>
        </w:rPr>
      </w:pPr>
    </w:p>
    <w:p w14:paraId="15A648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评价方法和标准：</w:t>
      </w:r>
      <w:r>
        <w:rPr>
          <w:rFonts w:hint="default" w:ascii="Times New Roman" w:hAnsi="Times New Roman" w:eastAsia="仿宋" w:cs="Times New Roman"/>
          <w:kern w:val="2"/>
          <w:sz w:val="32"/>
          <w:szCs w:val="32"/>
        </w:rPr>
        <w:t>采用自评方式，结合资料核查、数据比对等方法开展评价</w:t>
      </w:r>
      <w:r>
        <w:rPr>
          <w:rFonts w:hint="eastAsia" w:eastAsia="仿宋" w:cs="Times New Roman"/>
          <w:kern w:val="2"/>
          <w:sz w:val="32"/>
          <w:szCs w:val="32"/>
          <w:lang w:eastAsia="zh-CN"/>
        </w:rPr>
        <w:t>，</w:t>
      </w:r>
      <w:r>
        <w:rPr>
          <w:rFonts w:hint="default" w:ascii="Times New Roman" w:hAnsi="Times New Roman" w:eastAsia="仿宋" w:cs="Times New Roman"/>
          <w:kern w:val="2"/>
          <w:sz w:val="32"/>
          <w:szCs w:val="32"/>
        </w:rPr>
        <w:t>以项目绩效目标为基准，对照各指标目标值与完成值进行量化评分，总分100分，90分及以上为优。</w:t>
      </w:r>
    </w:p>
    <w:p w14:paraId="4A414C44">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eastAsia" w:ascii="Times New Roman Regular" w:hAnsi="Times New Roman Regular" w:eastAsia="仿宋" w:cs="Times New Roman Regular"/>
          <w:b/>
          <w:bCs/>
          <w:kern w:val="2"/>
          <w:sz w:val="32"/>
          <w:szCs w:val="32"/>
        </w:rPr>
      </w:pPr>
      <w:r>
        <w:rPr>
          <w:rFonts w:hint="eastAsia"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三</w:t>
      </w:r>
      <w:r>
        <w:rPr>
          <w:rFonts w:hint="eastAsia" w:ascii="Times New Roman Regular" w:hAnsi="Times New Roman Regular" w:eastAsia="仿宋" w:cs="Times New Roman Regular"/>
          <w:b/>
          <w:bCs/>
          <w:kern w:val="2"/>
          <w:sz w:val="32"/>
          <w:szCs w:val="32"/>
        </w:rPr>
        <w:t>）绩效评价工作过程。</w:t>
      </w:r>
    </w:p>
    <w:p w14:paraId="59B56E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前期准备阶段明确评价任务与标准，收集项目相关资料；组织实施阶段核查资金使用、项目实施等情况，比对指标完成数据；评价分析阶段汇总数据形成评价结果，梳理经验与问题；沟通反馈阶段确认评价结论，形成最终报告。</w:t>
      </w:r>
    </w:p>
    <w:p w14:paraId="47AE56F0">
      <w:pPr>
        <w:pStyle w:val="2"/>
        <w:rPr>
          <w:rFonts w:hint="default"/>
        </w:rPr>
      </w:pPr>
    </w:p>
    <w:p w14:paraId="582D641D">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eastAsia"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三、项目绩效情况</w:t>
      </w:r>
    </w:p>
    <w:p w14:paraId="4560127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经综合评价，项目在决策、过程、产出、效益等方面均表现良好，各项指标均完成目标值，自评得分100分，评价等级为优</w:t>
      </w:r>
      <w:r>
        <w:rPr>
          <w:rFonts w:hint="eastAsia" w:eastAsia="仿宋" w:cs="Times New Roman"/>
          <w:kern w:val="2"/>
          <w:sz w:val="32"/>
          <w:szCs w:val="32"/>
          <w:lang w:val="en-US" w:eastAsia="zh-CN"/>
        </w:rPr>
        <w:t>。附表如下：</w:t>
      </w:r>
    </w:p>
    <w:p w14:paraId="753AFA1C">
      <w:pPr>
        <w:pStyle w:val="2"/>
        <w:rPr>
          <w:rFonts w:hint="eastAsia"/>
          <w:lang w:val="en-US" w:eastAsia="zh-CN"/>
        </w:rPr>
      </w:pP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549"/>
        <w:gridCol w:w="1593"/>
        <w:gridCol w:w="1005"/>
        <w:gridCol w:w="893"/>
        <w:gridCol w:w="893"/>
        <w:gridCol w:w="1004"/>
        <w:gridCol w:w="549"/>
        <w:gridCol w:w="668"/>
        <w:gridCol w:w="505"/>
        <w:gridCol w:w="756"/>
        <w:gridCol w:w="937"/>
      </w:tblGrid>
      <w:tr w14:paraId="5F0B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6630B2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(2024年度）</w:t>
            </w:r>
          </w:p>
        </w:tc>
      </w:tr>
      <w:tr w14:paraId="1D85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7EE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34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根河市中心城区详细规划和敖鲁古雅乡国土空间规划、城市设计编制</w:t>
            </w:r>
          </w:p>
        </w:tc>
      </w:tr>
      <w:tr w14:paraId="5B08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F0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A8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7E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8B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根河市自然资源局</w:t>
            </w:r>
          </w:p>
        </w:tc>
      </w:tr>
      <w:tr w14:paraId="4342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E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719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30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0D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61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FB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9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E9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3C1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29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46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9A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91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53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0E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F6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E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305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77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D7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FF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0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C8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9441">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5D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55A8">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6DD6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03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8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6936">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6D3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10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F9D">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06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A18C">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0A91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7A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0B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4C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6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2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0940">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B207">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14:paraId="3ED3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A6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2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2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18B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6556">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10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内蒙古自治区自然资源厅《关于进一步做好国土空间规划编制工作的通知》，我市通过公开招标方式确定呼伦贝尔市同创规划设计咨询有限公司为根河市中心城区和敖鲁古雅乡国土空间规划、城市设计编制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DE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已完成</w:t>
            </w:r>
          </w:p>
        </w:tc>
      </w:tr>
      <w:tr w14:paraId="252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F4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25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C2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50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2B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48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55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DC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59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C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3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7B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CD2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B41F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4BB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30CD8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DC08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2B6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3D9D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48F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E7C7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9AE5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C4B5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F62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00DC7F5">
            <w:pPr>
              <w:jc w:val="center"/>
              <w:rPr>
                <w:rFonts w:hint="eastAsia" w:ascii="宋体" w:hAnsi="宋体" w:eastAsia="宋体" w:cs="宋体"/>
                <w:i w:val="0"/>
                <w:iCs w:val="0"/>
                <w:color w:val="000000"/>
                <w:sz w:val="18"/>
                <w:szCs w:val="18"/>
                <w:u w:val="none"/>
              </w:rPr>
            </w:pPr>
          </w:p>
        </w:tc>
      </w:tr>
      <w:tr w14:paraId="7C05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508485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B6A0F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38D55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6E8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859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E005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FA1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7BB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7FB0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9B9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DA5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0BADDE">
            <w:pPr>
              <w:jc w:val="center"/>
              <w:rPr>
                <w:rFonts w:hint="eastAsia" w:ascii="宋体" w:hAnsi="宋体" w:eastAsia="宋体" w:cs="宋体"/>
                <w:i w:val="0"/>
                <w:iCs w:val="0"/>
                <w:color w:val="000000"/>
                <w:sz w:val="18"/>
                <w:szCs w:val="18"/>
                <w:u w:val="none"/>
              </w:rPr>
            </w:pPr>
          </w:p>
        </w:tc>
      </w:tr>
      <w:tr w14:paraId="502F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8253D0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C8ECA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295A6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162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E9D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FBC1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E33B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41C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D90B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F8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3758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4E1455">
            <w:pPr>
              <w:jc w:val="center"/>
              <w:rPr>
                <w:rFonts w:hint="eastAsia" w:ascii="宋体" w:hAnsi="宋体" w:eastAsia="宋体" w:cs="宋体"/>
                <w:i w:val="0"/>
                <w:iCs w:val="0"/>
                <w:color w:val="000000"/>
                <w:sz w:val="18"/>
                <w:szCs w:val="18"/>
                <w:u w:val="none"/>
              </w:rPr>
            </w:pPr>
          </w:p>
        </w:tc>
      </w:tr>
      <w:tr w14:paraId="14C3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A5983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29BDC3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80DE5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15A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C5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19352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A1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8EA4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CA3D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579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F7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2AC60E">
            <w:pPr>
              <w:jc w:val="center"/>
              <w:rPr>
                <w:rFonts w:hint="eastAsia" w:ascii="宋体" w:hAnsi="宋体" w:eastAsia="宋体" w:cs="宋体"/>
                <w:i w:val="0"/>
                <w:iCs w:val="0"/>
                <w:color w:val="000000"/>
                <w:sz w:val="18"/>
                <w:szCs w:val="18"/>
                <w:u w:val="none"/>
              </w:rPr>
            </w:pPr>
          </w:p>
        </w:tc>
      </w:tr>
      <w:tr w14:paraId="7495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ACF099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E134F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75419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C221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D4A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DF1D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3E891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DF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821AD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C5B7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C7FB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C2DDED">
            <w:pPr>
              <w:jc w:val="center"/>
              <w:rPr>
                <w:rFonts w:hint="eastAsia" w:ascii="宋体" w:hAnsi="宋体" w:eastAsia="宋体" w:cs="宋体"/>
                <w:i w:val="0"/>
                <w:iCs w:val="0"/>
                <w:color w:val="000000"/>
                <w:sz w:val="18"/>
                <w:szCs w:val="18"/>
                <w:u w:val="none"/>
              </w:rPr>
            </w:pPr>
          </w:p>
        </w:tc>
      </w:tr>
      <w:tr w14:paraId="6268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20A29E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C07689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0A877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74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B57D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22FC7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1387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0E56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488F6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2E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AFB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1A2AB62">
            <w:pPr>
              <w:jc w:val="center"/>
              <w:rPr>
                <w:rFonts w:hint="eastAsia" w:ascii="宋体" w:hAnsi="宋体" w:eastAsia="宋体" w:cs="宋体"/>
                <w:i w:val="0"/>
                <w:iCs w:val="0"/>
                <w:color w:val="000000"/>
                <w:sz w:val="18"/>
                <w:szCs w:val="18"/>
                <w:u w:val="none"/>
              </w:rPr>
            </w:pPr>
          </w:p>
        </w:tc>
      </w:tr>
      <w:tr w14:paraId="79D7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4B39B7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8F9C53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7F6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83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80B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67C9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5E1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42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E0BA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3A16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F2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7130BD">
            <w:pPr>
              <w:jc w:val="center"/>
              <w:rPr>
                <w:rFonts w:hint="eastAsia" w:ascii="宋体" w:hAnsi="宋体" w:eastAsia="宋体" w:cs="宋体"/>
                <w:i w:val="0"/>
                <w:iCs w:val="0"/>
                <w:color w:val="000000"/>
                <w:sz w:val="18"/>
                <w:szCs w:val="18"/>
                <w:u w:val="none"/>
              </w:rPr>
            </w:pPr>
          </w:p>
        </w:tc>
      </w:tr>
      <w:tr w14:paraId="659B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1652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A9E97F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5900D5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6C30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973C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2915A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A1A4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5EC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7E2DA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6E7C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21FC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DF0657A">
            <w:pPr>
              <w:jc w:val="center"/>
              <w:rPr>
                <w:rFonts w:hint="eastAsia" w:ascii="宋体" w:hAnsi="宋体" w:eastAsia="宋体" w:cs="宋体"/>
                <w:i w:val="0"/>
                <w:iCs w:val="0"/>
                <w:color w:val="000000"/>
                <w:sz w:val="18"/>
                <w:szCs w:val="18"/>
                <w:u w:val="none"/>
              </w:rPr>
            </w:pPr>
          </w:p>
        </w:tc>
      </w:tr>
      <w:tr w14:paraId="4FF5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16615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0354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9309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6E1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121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8119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174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F52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6C1BA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28D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97C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D53EEB">
            <w:pPr>
              <w:jc w:val="center"/>
              <w:rPr>
                <w:rFonts w:hint="eastAsia" w:ascii="宋体" w:hAnsi="宋体" w:eastAsia="宋体" w:cs="宋体"/>
                <w:i w:val="0"/>
                <w:iCs w:val="0"/>
                <w:color w:val="000000"/>
                <w:sz w:val="18"/>
                <w:szCs w:val="18"/>
                <w:u w:val="none"/>
              </w:rPr>
            </w:pPr>
          </w:p>
        </w:tc>
      </w:tr>
      <w:tr w14:paraId="4086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B0616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35DF8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82A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CE45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F4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399C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BBBD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723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F0C64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8769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520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F2751AD">
            <w:pPr>
              <w:jc w:val="center"/>
              <w:rPr>
                <w:rFonts w:hint="eastAsia" w:ascii="宋体" w:hAnsi="宋体" w:eastAsia="宋体" w:cs="宋体"/>
                <w:i w:val="0"/>
                <w:iCs w:val="0"/>
                <w:color w:val="000000"/>
                <w:sz w:val="18"/>
                <w:szCs w:val="18"/>
                <w:u w:val="none"/>
              </w:rPr>
            </w:pPr>
          </w:p>
        </w:tc>
      </w:tr>
      <w:tr w14:paraId="3505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6F9D07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20B88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093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25A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业务委托费</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5D5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D6254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79CB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394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A67F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046A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B3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766818">
            <w:pPr>
              <w:jc w:val="center"/>
              <w:rPr>
                <w:rFonts w:hint="eastAsia" w:ascii="宋体" w:hAnsi="宋体" w:eastAsia="宋体" w:cs="宋体"/>
                <w:i w:val="0"/>
                <w:iCs w:val="0"/>
                <w:color w:val="000000"/>
                <w:sz w:val="18"/>
                <w:szCs w:val="18"/>
                <w:u w:val="none"/>
              </w:rPr>
            </w:pPr>
          </w:p>
        </w:tc>
      </w:tr>
      <w:tr w14:paraId="009E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E884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6D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B26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73AF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4179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90C2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337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F577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E50CA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5338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F42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5A96AA3">
            <w:pPr>
              <w:jc w:val="center"/>
              <w:rPr>
                <w:rFonts w:hint="eastAsia" w:ascii="宋体" w:hAnsi="宋体" w:eastAsia="宋体" w:cs="宋体"/>
                <w:i w:val="0"/>
                <w:iCs w:val="0"/>
                <w:color w:val="000000"/>
                <w:sz w:val="18"/>
                <w:szCs w:val="18"/>
                <w:u w:val="none"/>
              </w:rPr>
            </w:pPr>
          </w:p>
        </w:tc>
      </w:tr>
      <w:tr w14:paraId="34F3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390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6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7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5059E">
            <w:pPr>
              <w:jc w:val="center"/>
              <w:rPr>
                <w:rFonts w:hint="eastAsia" w:ascii="宋体" w:hAnsi="宋体" w:eastAsia="宋体" w:cs="宋体"/>
                <w:i w:val="0"/>
                <w:iCs w:val="0"/>
                <w:color w:val="000000"/>
                <w:sz w:val="18"/>
                <w:szCs w:val="18"/>
                <w:u w:val="none"/>
              </w:rPr>
            </w:pPr>
          </w:p>
        </w:tc>
      </w:tr>
    </w:tbl>
    <w:p w14:paraId="07079158">
      <w:pPr>
        <w:pStyle w:val="2"/>
        <w:rPr>
          <w:rFonts w:hint="eastAsia"/>
          <w:lang w:val="en-US" w:eastAsia="zh-CN"/>
        </w:rPr>
      </w:pPr>
    </w:p>
    <w:p w14:paraId="03F17CBD">
      <w:pPr>
        <w:pStyle w:val="3"/>
        <w:rPr>
          <w:rFonts w:hint="eastAsia"/>
          <w:lang w:val="en-US" w:eastAsia="zh-CN"/>
        </w:rPr>
      </w:pPr>
    </w:p>
    <w:p w14:paraId="02E1D8CD">
      <w:pPr>
        <w:pStyle w:val="3"/>
        <w:rPr>
          <w:rFonts w:hint="eastAsia"/>
          <w:lang w:val="en-US" w:eastAsia="zh-CN"/>
        </w:rPr>
      </w:pPr>
    </w:p>
    <w:p w14:paraId="68878054">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default" w:ascii="Times New Roman Regular" w:hAnsi="Times New Roman Regular" w:eastAsia="仿宋" w:cs="Times New Roman Regular"/>
          <w:b w:val="0"/>
          <w:bCs w:val="0"/>
          <w:kern w:val="2"/>
          <w:sz w:val="32"/>
          <w:szCs w:val="32"/>
          <w:lang w:val="en-US" w:eastAsia="zh-CN" w:bidi="ar-SA"/>
        </w:rPr>
        <w:t>四、绩效评价指标分析</w:t>
      </w:r>
    </w:p>
    <w:p w14:paraId="18FA3EB9">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lang w:val="en-US" w:eastAsia="zh-CN"/>
        </w:rPr>
      </w:pPr>
      <w:r>
        <w:rPr>
          <w:rFonts w:hint="default" w:ascii="Times New Roman Regular" w:hAnsi="Times New Roman Regular" w:eastAsia="仿宋" w:cs="Times New Roman Regular"/>
          <w:b/>
          <w:bCs/>
          <w:kern w:val="2"/>
          <w:sz w:val="32"/>
          <w:szCs w:val="32"/>
        </w:rPr>
        <w:t>（一）</w:t>
      </w:r>
      <w:r>
        <w:rPr>
          <w:rFonts w:hint="default" w:ascii="Times New Roman Regular" w:hAnsi="Times New Roman Regular" w:eastAsia="仿宋" w:cs="Times New Roman Regular"/>
          <w:b/>
          <w:bCs/>
          <w:kern w:val="2"/>
          <w:sz w:val="32"/>
          <w:szCs w:val="32"/>
          <w:lang w:val="en-US" w:eastAsia="zh-CN"/>
        </w:rPr>
        <w:t>项目决策情况。</w:t>
      </w:r>
    </w:p>
    <w:p w14:paraId="1A82D7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项目依据自治区相关通知要求立项，通过公开招标确定编制单位，决策流程规范，符合相关规定，无决策偏差。</w:t>
      </w:r>
    </w:p>
    <w:p w14:paraId="6B321639">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lang w:val="en-US" w:eastAsia="zh-CN"/>
        </w:rPr>
      </w:pPr>
      <w:r>
        <w:rPr>
          <w:rFonts w:hint="default"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二</w:t>
      </w: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项目过程情况。</w:t>
      </w:r>
    </w:p>
    <w:p w14:paraId="1AAB2D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仿宋" w:cs="Times New Roman"/>
          <w:kern w:val="2"/>
          <w:sz w:val="32"/>
          <w:szCs w:val="32"/>
        </w:rPr>
        <w:t>项目资金管理严格遵循财务管理制度及内控要求，专款专用、单独核算，支出审核严格；项目实施过程规范，无违规操作情况，确保项目顺利推进。</w:t>
      </w:r>
    </w:p>
    <w:p w14:paraId="3D829403">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w:hAnsi="Times New Roman" w:eastAsia="仿宋" w:cs="Times New Roman"/>
          <w:kern w:val="2"/>
          <w:sz w:val="32"/>
          <w:szCs w:val="32"/>
        </w:rPr>
      </w:pPr>
      <w:r>
        <w:rPr>
          <w:rFonts w:hint="default"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三</w:t>
      </w: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项目产出情况。</w:t>
      </w:r>
    </w:p>
    <w:p w14:paraId="3AF076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数量指标：</w:t>
      </w:r>
      <w:r>
        <w:rPr>
          <w:rFonts w:hint="default" w:ascii="Times New Roman" w:hAnsi="Times New Roman" w:eastAsia="仿宋" w:cs="Times New Roman"/>
          <w:kern w:val="2"/>
          <w:sz w:val="32"/>
          <w:szCs w:val="32"/>
        </w:rPr>
        <w:t>业务委托费相关2项指标，目标值分别为10、5，完成值均达标，得分15分。</w:t>
      </w:r>
    </w:p>
    <w:p w14:paraId="5DB755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质量指标：</w:t>
      </w:r>
      <w:r>
        <w:rPr>
          <w:rFonts w:hint="default" w:ascii="Times New Roman" w:hAnsi="Times New Roman" w:eastAsia="仿宋" w:cs="Times New Roman"/>
          <w:kern w:val="2"/>
          <w:sz w:val="32"/>
          <w:szCs w:val="32"/>
        </w:rPr>
        <w:t>业务委托费相关2项指标，目标值分别为10、5，完成值均达标，得分15分。</w:t>
      </w:r>
    </w:p>
    <w:p w14:paraId="4F4335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时效指标：</w:t>
      </w:r>
      <w:r>
        <w:rPr>
          <w:rFonts w:hint="default" w:ascii="Times New Roman" w:hAnsi="Times New Roman" w:eastAsia="仿宋" w:cs="Times New Roman"/>
          <w:kern w:val="2"/>
          <w:sz w:val="32"/>
          <w:szCs w:val="32"/>
        </w:rPr>
        <w:t>委托业务费相关2项指标，目标值均为5，完成值均达标，得分10分。</w:t>
      </w:r>
    </w:p>
    <w:p w14:paraId="2683CF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lang w:val="en-US" w:eastAsia="zh-CN"/>
        </w:rPr>
      </w:pPr>
      <w:r>
        <w:rPr>
          <w:rFonts w:hint="default" w:ascii="Times New Roman" w:hAnsi="Times New Roman" w:eastAsia="仿宋" w:cs="Times New Roman"/>
          <w:b/>
          <w:bCs/>
          <w:kern w:val="2"/>
          <w:sz w:val="32"/>
          <w:szCs w:val="32"/>
        </w:rPr>
        <w:t>成本指标：</w:t>
      </w:r>
      <w:r>
        <w:rPr>
          <w:rFonts w:hint="default" w:ascii="Times New Roman" w:hAnsi="Times New Roman" w:eastAsia="仿宋" w:cs="Times New Roman"/>
          <w:kern w:val="2"/>
          <w:sz w:val="32"/>
          <w:szCs w:val="32"/>
        </w:rPr>
        <w:t>委托业务费相关2项指标，目标值均为5，完成值均达标，得分10分。</w:t>
      </w:r>
    </w:p>
    <w:p w14:paraId="27608832">
      <w:pPr>
        <w:keepNext w:val="0"/>
        <w:keepLines w:val="0"/>
        <w:pageBreakBefore w:val="0"/>
        <w:widowControl w:val="0"/>
        <w:kinsoku/>
        <w:wordWrap/>
        <w:overflowPunct/>
        <w:topLinePunct/>
        <w:autoSpaceDE/>
        <w:autoSpaceDN/>
        <w:bidi w:val="0"/>
        <w:adjustRightInd/>
        <w:snapToGrid/>
        <w:spacing w:before="240" w:after="240" w:line="520" w:lineRule="exact"/>
        <w:ind w:left="0" w:leftChars="0" w:right="0" w:rightChars="0" w:firstLine="643" w:firstLineChars="200"/>
        <w:jc w:val="both"/>
        <w:textAlignment w:val="auto"/>
        <w:outlineLvl w:val="1"/>
        <w:rPr>
          <w:rFonts w:hint="default" w:ascii="Times New Roman Regular" w:hAnsi="Times New Roman Regular" w:eastAsia="仿宋" w:cs="Times New Roman Regular"/>
          <w:b/>
          <w:bCs/>
          <w:kern w:val="2"/>
          <w:sz w:val="32"/>
          <w:szCs w:val="32"/>
          <w:lang w:val="en-US" w:eastAsia="zh-CN"/>
        </w:rPr>
      </w:pPr>
      <w:r>
        <w:rPr>
          <w:rFonts w:hint="default" w:ascii="Times New Roman Regular" w:hAnsi="Times New Roman Regular" w:eastAsia="仿宋" w:cs="Times New Roman Regular"/>
          <w:b/>
          <w:bCs/>
          <w:kern w:val="2"/>
          <w:sz w:val="32"/>
          <w:szCs w:val="32"/>
        </w:rPr>
        <w:t>（</w:t>
      </w:r>
      <w:r>
        <w:rPr>
          <w:rFonts w:hint="eastAsia" w:ascii="Times New Roman Regular" w:hAnsi="Times New Roman Regular" w:eastAsia="仿宋" w:cs="Times New Roman Regular"/>
          <w:b/>
          <w:bCs/>
          <w:kern w:val="2"/>
          <w:sz w:val="32"/>
          <w:szCs w:val="32"/>
          <w:lang w:eastAsia="zh-CN"/>
        </w:rPr>
        <w:t>四</w:t>
      </w:r>
      <w:r>
        <w:rPr>
          <w:rFonts w:hint="default" w:ascii="Times New Roman Regular" w:hAnsi="Times New Roman Regular" w:eastAsia="仿宋" w:cs="Times New Roman Regular"/>
          <w:b/>
          <w:bCs/>
          <w:kern w:val="2"/>
          <w:sz w:val="32"/>
          <w:szCs w:val="32"/>
        </w:rPr>
        <w:t>）</w:t>
      </w:r>
      <w:r>
        <w:rPr>
          <w:rFonts w:hint="default" w:ascii="Times New Roman Regular" w:hAnsi="Times New Roman Regular" w:eastAsia="仿宋" w:cs="Times New Roman Regular"/>
          <w:b/>
          <w:bCs/>
          <w:kern w:val="2"/>
          <w:sz w:val="32"/>
          <w:szCs w:val="32"/>
          <w:lang w:val="en-US" w:eastAsia="zh-CN"/>
        </w:rPr>
        <w:t>项目效益情况。</w:t>
      </w:r>
    </w:p>
    <w:p w14:paraId="5670D8C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经济效益指标：</w:t>
      </w:r>
      <w:r>
        <w:rPr>
          <w:rFonts w:hint="default" w:ascii="Times New Roman" w:hAnsi="Times New Roman" w:eastAsia="仿宋" w:cs="Times New Roman"/>
          <w:kern w:val="2"/>
          <w:sz w:val="32"/>
          <w:szCs w:val="32"/>
        </w:rPr>
        <w:t>业务委托费相关指标目标值10，完成值达标，得分10分，对区域经济发展起到积极支撑作用。</w:t>
      </w:r>
    </w:p>
    <w:p w14:paraId="20F575A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社会效益指标：</w:t>
      </w:r>
      <w:r>
        <w:rPr>
          <w:rFonts w:hint="default" w:ascii="Times New Roman" w:hAnsi="Times New Roman" w:eastAsia="仿宋" w:cs="Times New Roman"/>
          <w:kern w:val="2"/>
          <w:sz w:val="32"/>
          <w:szCs w:val="32"/>
        </w:rPr>
        <w:t>委托业务费相关指标目标值10，完成值达标，得分10分，有效规范区域空间开发，提升空间利用合理性。</w:t>
      </w:r>
    </w:p>
    <w:p w14:paraId="6B3722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可持续影响指标：</w:t>
      </w:r>
      <w:r>
        <w:rPr>
          <w:rFonts w:hint="default" w:ascii="Times New Roman" w:hAnsi="Times New Roman" w:eastAsia="仿宋" w:cs="Times New Roman"/>
          <w:kern w:val="2"/>
          <w:sz w:val="32"/>
          <w:szCs w:val="32"/>
        </w:rPr>
        <w:t>业务委托费相关指标目标值10，完成值达标，得分10分，为区域长期空间规划与发展提供科学依据。</w:t>
      </w:r>
    </w:p>
    <w:p w14:paraId="362592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rPr>
      </w:pPr>
      <w:r>
        <w:rPr>
          <w:rFonts w:hint="default" w:ascii="Times New Roman" w:hAnsi="Times New Roman" w:eastAsia="仿宋" w:cs="Times New Roman"/>
          <w:b/>
          <w:bCs/>
          <w:kern w:val="2"/>
          <w:sz w:val="32"/>
          <w:szCs w:val="32"/>
        </w:rPr>
        <w:t>服务对象满意度指标：</w:t>
      </w:r>
      <w:r>
        <w:rPr>
          <w:rFonts w:hint="default" w:ascii="Times New Roman" w:hAnsi="Times New Roman" w:eastAsia="仿宋" w:cs="Times New Roman"/>
          <w:kern w:val="2"/>
          <w:sz w:val="32"/>
          <w:szCs w:val="32"/>
        </w:rPr>
        <w:t>满意指标目标值10，完成值达标，得分10分，服务对象对项目成果认可度高。</w:t>
      </w:r>
    </w:p>
    <w:p w14:paraId="3AFC5C46">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default" w:ascii="Times New Roman Regular" w:hAnsi="Times New Roman Regular" w:eastAsia="仿宋" w:cs="Times New Roman Regular"/>
          <w:b w:val="0"/>
          <w:bCs w:val="0"/>
          <w:kern w:val="2"/>
          <w:sz w:val="32"/>
          <w:szCs w:val="32"/>
          <w:lang w:val="en-US" w:eastAsia="zh-CN" w:bidi="ar-SA"/>
        </w:rPr>
        <w:t>五、主要经验及做法、存在的问题及原因分析</w:t>
      </w:r>
    </w:p>
    <w:p w14:paraId="6D78C92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主要经验及做法</w:t>
      </w:r>
      <w:r>
        <w:rPr>
          <w:rFonts w:hint="eastAsia" w:eastAsia="仿宋" w:cs="Times New Roman"/>
          <w:b/>
          <w:bCs/>
          <w:kern w:val="2"/>
          <w:sz w:val="32"/>
          <w:szCs w:val="32"/>
          <w:lang w:eastAsia="zh-CN"/>
        </w:rPr>
        <w:t>：</w:t>
      </w:r>
      <w:r>
        <w:rPr>
          <w:rFonts w:hint="eastAsia" w:eastAsia="仿宋" w:cs="Times New Roman"/>
          <w:kern w:val="2"/>
          <w:sz w:val="32"/>
          <w:szCs w:val="32"/>
          <w:lang w:eastAsia="zh-CN"/>
        </w:rPr>
        <w:t>严格执行公开招标流程，确保编制单位选择公平公正；建立健全资金内控管理机制，保障资金规范高效使用；强化绩效目标跟踪，确保各项指标顺利达成</w:t>
      </w:r>
      <w:r>
        <w:rPr>
          <w:rFonts w:hint="default" w:ascii="Times New Roman" w:hAnsi="Times New Roman" w:eastAsia="仿宋" w:cs="Times New Roman"/>
          <w:kern w:val="2"/>
          <w:sz w:val="32"/>
          <w:szCs w:val="32"/>
        </w:rPr>
        <w:t>。</w:t>
      </w:r>
    </w:p>
    <w:p w14:paraId="4A3970F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仿宋" w:cs="Times New Roman"/>
          <w:kern w:val="2"/>
          <w:sz w:val="32"/>
          <w:szCs w:val="32"/>
        </w:rPr>
      </w:pPr>
      <w:r>
        <w:rPr>
          <w:rFonts w:hint="default" w:ascii="Times New Roman" w:hAnsi="Times New Roman" w:eastAsia="仿宋" w:cs="Times New Roman"/>
          <w:b/>
          <w:bCs/>
          <w:kern w:val="2"/>
          <w:sz w:val="32"/>
          <w:szCs w:val="32"/>
        </w:rPr>
        <w:t>存在的问题及原因分析</w:t>
      </w:r>
      <w:r>
        <w:rPr>
          <w:rFonts w:hint="eastAsia" w:eastAsia="仿宋" w:cs="Times New Roman"/>
          <w:b/>
          <w:bCs/>
          <w:kern w:val="2"/>
          <w:sz w:val="32"/>
          <w:szCs w:val="32"/>
          <w:lang w:eastAsia="zh-CN"/>
        </w:rPr>
        <w:t>：</w:t>
      </w:r>
      <w:r>
        <w:rPr>
          <w:rFonts w:hint="eastAsia" w:eastAsia="仿宋" w:cs="Times New Roman"/>
          <w:kern w:val="2"/>
          <w:sz w:val="32"/>
          <w:szCs w:val="32"/>
          <w:lang w:eastAsia="zh-CN"/>
        </w:rPr>
        <w:t>项目立项、实施及资金管理使用等各环节均无明显问题，整体执行情况良好。</w:t>
      </w:r>
    </w:p>
    <w:p w14:paraId="48BE7D25">
      <w:pPr>
        <w:pStyle w:val="2"/>
        <w:rPr>
          <w:rFonts w:hint="default"/>
          <w:lang w:val="en-US" w:eastAsia="zh-CN"/>
        </w:rPr>
      </w:pPr>
    </w:p>
    <w:p w14:paraId="05A5ADEA">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六</w:t>
      </w:r>
      <w:r>
        <w:rPr>
          <w:rFonts w:hint="default" w:ascii="Times New Roman Regular" w:hAnsi="Times New Roman Regular" w:eastAsia="仿宋" w:cs="Times New Roman Regular"/>
          <w:b w:val="0"/>
          <w:bCs w:val="0"/>
          <w:kern w:val="2"/>
          <w:sz w:val="32"/>
          <w:szCs w:val="32"/>
          <w:lang w:val="en-US" w:eastAsia="zh-CN" w:bidi="ar-SA"/>
        </w:rPr>
        <w:t>、有关建议</w:t>
      </w:r>
    </w:p>
    <w:p w14:paraId="50C4870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lang w:val="en-US" w:eastAsia="zh-CN"/>
        </w:rPr>
      </w:pPr>
      <w:r>
        <w:rPr>
          <w:rFonts w:hint="default" w:ascii="Times New Roman" w:hAnsi="Times New Roman" w:eastAsia="仿宋" w:cs="Times New Roman"/>
          <w:kern w:val="2"/>
          <w:sz w:val="32"/>
          <w:szCs w:val="32"/>
        </w:rPr>
        <w:t>持续完善绩效评价指标体系，全面真实反映项目绩效水平；进一步强化专项资金审核力度，严格按制度执行支出管理，不断提升资金使用效率。</w:t>
      </w:r>
    </w:p>
    <w:p w14:paraId="2C10DFED">
      <w:pPr>
        <w:pStyle w:val="4"/>
        <w:keepNext/>
        <w:keepLines/>
        <w:pageBreakBefore w:val="0"/>
        <w:widowControl w:val="0"/>
        <w:kinsoku/>
        <w:wordWrap/>
        <w:overflowPunct/>
        <w:topLinePunct w:val="0"/>
        <w:autoSpaceDE/>
        <w:autoSpaceDN/>
        <w:bidi w:val="0"/>
        <w:adjustRightInd/>
        <w:snapToGrid/>
        <w:spacing w:before="240" w:after="240" w:line="360" w:lineRule="auto"/>
        <w:ind w:firstLine="480" w:firstLineChars="150"/>
        <w:textAlignment w:val="auto"/>
        <w:rPr>
          <w:rFonts w:hint="default" w:ascii="Times New Roman Regular" w:hAnsi="Times New Roman Regular" w:eastAsia="仿宋" w:cs="Times New Roman Regular"/>
          <w:b w:val="0"/>
          <w:bCs w:val="0"/>
          <w:kern w:val="2"/>
          <w:sz w:val="32"/>
          <w:szCs w:val="32"/>
          <w:lang w:val="en-US" w:eastAsia="zh-CN" w:bidi="ar-SA"/>
        </w:rPr>
      </w:pPr>
      <w:r>
        <w:rPr>
          <w:rFonts w:hint="eastAsia" w:ascii="Times New Roman Regular" w:hAnsi="Times New Roman Regular" w:eastAsia="仿宋" w:cs="Times New Roman Regular"/>
          <w:b w:val="0"/>
          <w:bCs w:val="0"/>
          <w:kern w:val="2"/>
          <w:sz w:val="32"/>
          <w:szCs w:val="32"/>
          <w:lang w:val="en-US" w:eastAsia="zh-CN" w:bidi="ar-SA"/>
        </w:rPr>
        <w:t>七</w:t>
      </w:r>
      <w:r>
        <w:rPr>
          <w:rFonts w:hint="default" w:ascii="Times New Roman Regular" w:hAnsi="Times New Roman Regular" w:eastAsia="仿宋" w:cs="Times New Roman Regular"/>
          <w:b w:val="0"/>
          <w:bCs w:val="0"/>
          <w:kern w:val="2"/>
          <w:sz w:val="32"/>
          <w:szCs w:val="32"/>
          <w:lang w:val="en-US" w:eastAsia="zh-CN" w:bidi="ar-SA"/>
        </w:rPr>
        <w:t>、其他需说明的问题</w:t>
      </w:r>
    </w:p>
    <w:p w14:paraId="187FE6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lang w:val="en-US" w:eastAsia="zh-CN"/>
        </w:rPr>
      </w:pPr>
      <w:r>
        <w:rPr>
          <w:rFonts w:hint="eastAsia" w:eastAsia="仿宋" w:cs="Times New Roman"/>
          <w:kern w:val="2"/>
          <w:sz w:val="32"/>
          <w:szCs w:val="32"/>
          <w:lang w:eastAsia="zh-CN"/>
        </w:rPr>
        <w:t>无</w:t>
      </w:r>
      <w:r>
        <w:rPr>
          <w:rFonts w:hint="default" w:ascii="Times New Roman" w:hAnsi="Times New Roman" w:eastAsia="仿宋" w:cs="Times New Roman"/>
          <w:kern w:val="2"/>
          <w:sz w:val="32"/>
          <w:szCs w:val="32"/>
        </w:rPr>
        <w:t>。</w:t>
      </w:r>
    </w:p>
    <w:p w14:paraId="4A228E1E">
      <w:pPr>
        <w:rPr>
          <w:rFonts w:hint="default"/>
          <w:lang w:val="en-US" w:eastAsia="zh-CN"/>
        </w:rPr>
      </w:pPr>
    </w:p>
    <w:p w14:paraId="571E51FE">
      <w:pPr>
        <w:rPr>
          <w:rFonts w:hint="default"/>
          <w:lang w:val="en-US" w:eastAsia="zh-CN"/>
        </w:rPr>
      </w:pPr>
      <w:r>
        <w:rPr>
          <w:rFonts w:ascii="fang_zheng_xiao_biao_song_ti" w:hAnsi="fang_zheng_xiao_biao_song_ti" w:eastAsia="fang_zheng_xiao_biao_song_ti" w:cs="fang_zheng_xiao_biao_song_ti"/>
          <w:kern w:val="0"/>
          <w:sz w:val="36"/>
          <w:szCs w:val="36"/>
        </w:rPr>
        <w:br w:type="page"/>
      </w:r>
    </w:p>
    <w:p w14:paraId="3C4651C0">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EEA180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xml:space="preserve"> </w:t>
      </w:r>
      <w:r>
        <w:rPr>
          <w:rFonts w:hint="eastAsia" w:ascii="仿宋_GB2312" w:hAnsi="仿宋_GB2312" w:eastAsia="仿宋_GB2312" w:cs="仿宋_GB2312"/>
          <w:b/>
          <w:bCs/>
          <w:kern w:val="0"/>
          <w:sz w:val="27"/>
          <w:szCs w:val="27"/>
          <w:lang w:val="en-US" w:eastAsia="zh-CN"/>
        </w:rPr>
        <w:t xml:space="preserve">  </w:t>
      </w:r>
      <w:r>
        <w:rPr>
          <w:rFonts w:ascii="仿宋_GB2312" w:hAnsi="仿宋_GB2312" w:eastAsia="仿宋_GB2312" w:cs="仿宋_GB2312"/>
          <w:b/>
          <w:bCs/>
          <w:kern w:val="0"/>
          <w:sz w:val="27"/>
          <w:szCs w:val="27"/>
        </w:rPr>
        <w:t>一、财政拨款收入：</w:t>
      </w:r>
      <w:r>
        <w:rPr>
          <w:rFonts w:ascii="仿宋_GB2312" w:hAnsi="仿宋_GB2312" w:eastAsia="仿宋_GB2312" w:cs="仿宋_GB2312"/>
          <w:kern w:val="0"/>
          <w:sz w:val="27"/>
          <w:szCs w:val="27"/>
        </w:rPr>
        <w:t>从同级财政部门取得的各</w:t>
      </w:r>
      <w:r>
        <w:rPr>
          <w:rFonts w:hint="eastAsia" w:ascii="仿宋" w:hAnsi="仿宋" w:eastAsia="仿宋" w:cs="仿宋"/>
          <w:spacing w:val="-1"/>
          <w:sz w:val="28"/>
          <w:szCs w:val="28"/>
          <w:lang w:val="en-US" w:eastAsia="zh-CN"/>
        </w:rPr>
        <w:t>类财政拨款</w:t>
      </w:r>
      <w:r>
        <w:rPr>
          <w:rFonts w:ascii="仿宋_GB2312" w:hAnsi="仿宋_GB2312" w:eastAsia="仿宋_GB2312" w:cs="仿宋_GB2312"/>
          <w:kern w:val="0"/>
          <w:sz w:val="27"/>
          <w:szCs w:val="27"/>
        </w:rPr>
        <w:t>，包括一般公共预算财政拨款、政府性基金预算财政拨款、国有资本经营预算财政拨款。</w:t>
      </w:r>
    </w:p>
    <w:p w14:paraId="29CEFE0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4B12C80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6777A00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7514585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457AD4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006C0CF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2CEE4B9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2444FA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3AAF2CB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4E74751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2C0DC64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1A6C32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0B8B4FB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476BF1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1C0D055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4A6D8A6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BDB10C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5D8143C0">
      <w:pPr>
        <w:widowControl/>
        <w:spacing w:before="240" w:after="240"/>
        <w:jc w:val="left"/>
        <w:rPr>
          <w:rFonts w:ascii="Times New Roman" w:hAnsi="Times New Roman" w:eastAsia="Times New Roman" w:cs="Times New Roman"/>
          <w:kern w:val="0"/>
          <w:sz w:val="24"/>
        </w:rPr>
      </w:pPr>
    </w:p>
    <w:p w14:paraId="2E17DE8F">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2EC8CA53">
      <w:pPr>
        <w:widowControl/>
        <w:spacing w:before="240" w:after="240"/>
        <w:jc w:val="left"/>
        <w:rPr>
          <w:rFonts w:ascii="Times New Roman" w:hAnsi="Times New Roman" w:eastAsia="Times New Roman" w:cs="Times New Roman"/>
          <w:kern w:val="0"/>
          <w:sz w:val="24"/>
        </w:rPr>
      </w:pPr>
    </w:p>
    <w:p w14:paraId="099359D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25E99BC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i w:val="0"/>
          <w:iCs w:val="0"/>
          <w:kern w:val="0"/>
          <w:sz w:val="27"/>
          <w:szCs w:val="27"/>
          <w:u w:val="none"/>
        </w:rPr>
        <w:t>何婉婷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none"/>
        </w:rPr>
        <w:t>0470-5222697</w:t>
      </w:r>
    </w:p>
    <w:p w14:paraId="1F14DA60">
      <w:pPr>
        <w:widowControl/>
        <w:spacing w:before="240" w:after="240"/>
        <w:jc w:val="left"/>
        <w:rPr>
          <w:rFonts w:ascii="Times New Roman" w:hAnsi="Times New Roman" w:eastAsia="Times New Roman" w:cs="Times New Roman"/>
          <w:kern w:val="0"/>
          <w:sz w:val="24"/>
        </w:rPr>
      </w:pPr>
    </w:p>
    <w:p w14:paraId="4C2475FA">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14:paraId="15353EFD">
      <w:pPr>
        <w:widowControl/>
        <w:spacing w:before="240" w:after="240"/>
        <w:jc w:val="center"/>
        <w:rPr>
          <w:rFonts w:ascii="Times New Roman" w:hAnsi="Times New Roman" w:eastAsia="Times New Roman" w:cs="Times New Roman"/>
          <w:kern w:val="0"/>
          <w:sz w:val="24"/>
        </w:rPr>
      </w:pPr>
    </w:p>
    <w:p w14:paraId="092DF8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352E8F95">
      <w:pPr>
        <w:widowControl/>
        <w:spacing w:before="240" w:after="240"/>
        <w:jc w:val="left"/>
        <w:rPr>
          <w:rFonts w:ascii="Times New Roman" w:hAnsi="Times New Roman" w:eastAsia="Times New Roman" w:cs="Times New Roman"/>
          <w:kern w:val="0"/>
          <w:sz w:val="24"/>
        </w:rPr>
      </w:pPr>
    </w:p>
    <w:p w14:paraId="122FC09B">
      <w:pPr>
        <w:widowControl/>
        <w:spacing w:before="240" w:after="240"/>
        <w:jc w:val="left"/>
        <w:rPr>
          <w:rFonts w:ascii="Times New Roman" w:hAnsi="Times New Roman" w:eastAsia="Times New Roman" w:cs="Times New Roman"/>
          <w:kern w:val="0"/>
          <w:sz w:val="24"/>
        </w:rPr>
      </w:pPr>
    </w:p>
    <w:p w14:paraId="36CC09CD">
      <w:pPr>
        <w:widowControl/>
        <w:spacing w:before="240" w:after="240"/>
        <w:jc w:val="left"/>
        <w:rPr>
          <w:rFonts w:ascii="Times New Roman" w:hAnsi="Times New Roman" w:eastAsia="Times New Roman" w:cs="Times New Roman"/>
          <w:kern w:val="0"/>
          <w:sz w:val="24"/>
        </w:rPr>
      </w:pPr>
    </w:p>
    <w:p w14:paraId="7448259D">
      <w:pPr>
        <w:widowControl/>
        <w:spacing w:before="240" w:after="240"/>
        <w:jc w:val="left"/>
        <w:rPr>
          <w:rFonts w:ascii="Times New Roman" w:hAnsi="Times New Roman" w:eastAsia="Times New Roman" w:cs="Times New Roman"/>
          <w:kern w:val="0"/>
          <w:sz w:val="24"/>
        </w:rPr>
      </w:pPr>
    </w:p>
    <w:bookmarkEnd w:id="0"/>
    <w:p w14:paraId="22669649">
      <w:pPr>
        <w:adjustRightInd w:val="0"/>
        <w:snapToGrid w:val="0"/>
        <w:rPr>
          <w:rFonts w:ascii="宋体" w:hAnsi="宋体"/>
          <w:b/>
          <w:sz w:val="32"/>
          <w:szCs w:val="32"/>
        </w:rPr>
      </w:pPr>
    </w:p>
    <w:sectPr>
      <w:headerReference r:id="rId4" w:type="default"/>
      <w:footerReference r:id="rId5"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DD1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EFF4">
    <w:pPr>
      <w:pStyle w:val="15"/>
      <w:jc w:val="center"/>
    </w:pPr>
    <w:r>
      <w:fldChar w:fldCharType="begin"/>
    </w:r>
    <w:r>
      <w:instrText xml:space="preserve"> PAGE   \* MERGEFORMAT </w:instrText>
    </w:r>
    <w:r>
      <w:fldChar w:fldCharType="separate"/>
    </w:r>
    <w:r>
      <w:rPr>
        <w:lang w:val="zh-CN"/>
      </w:rPr>
      <w:t>26</w:t>
    </w:r>
    <w:r>
      <w:rPr>
        <w:lang w:val="zh-CN"/>
      </w:rPr>
      <w:fldChar w:fldCharType="end"/>
    </w:r>
  </w:p>
  <w:p w14:paraId="2F59BC6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1B16">
    <w:pPr>
      <w:pStyle w:val="16"/>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210040"/>
    <w:rsid w:val="01D76486"/>
    <w:rsid w:val="0AE75B3C"/>
    <w:rsid w:val="0DE63E89"/>
    <w:rsid w:val="165247B2"/>
    <w:rsid w:val="1DD716DD"/>
    <w:rsid w:val="20E663EF"/>
    <w:rsid w:val="223B7CB4"/>
    <w:rsid w:val="232B2612"/>
    <w:rsid w:val="2C425133"/>
    <w:rsid w:val="2EB21E3A"/>
    <w:rsid w:val="385006CA"/>
    <w:rsid w:val="39C12F31"/>
    <w:rsid w:val="3B07444E"/>
    <w:rsid w:val="3D1B6DFC"/>
    <w:rsid w:val="3D2E2FD3"/>
    <w:rsid w:val="3FF82C0A"/>
    <w:rsid w:val="44336C78"/>
    <w:rsid w:val="44804287"/>
    <w:rsid w:val="480E1361"/>
    <w:rsid w:val="51CD438B"/>
    <w:rsid w:val="51DD42E6"/>
    <w:rsid w:val="55130847"/>
    <w:rsid w:val="553C395C"/>
    <w:rsid w:val="557B4484"/>
    <w:rsid w:val="569C0437"/>
    <w:rsid w:val="5B955B74"/>
    <w:rsid w:val="5D9067B5"/>
    <w:rsid w:val="61AC4F34"/>
    <w:rsid w:val="637A00F6"/>
    <w:rsid w:val="658E5B0E"/>
    <w:rsid w:val="6B6C3102"/>
    <w:rsid w:val="79ED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27"/>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p0"/>
    <w:basedOn w:val="1"/>
    <w:next w:val="3"/>
    <w:qFormat/>
    <w:uiPriority w:val="0"/>
    <w:pPr>
      <w:widowControl/>
    </w:pPr>
    <w:rPr>
      <w:rFonts w:ascii="Calibri" w:hAnsi="Calibri" w:cs="宋体"/>
      <w:kern w:val="0"/>
      <w:szCs w:val="21"/>
    </w:rPr>
  </w:style>
  <w:style w:type="paragraph" w:styleId="3">
    <w:name w:val="Balloon Text"/>
    <w:basedOn w:val="1"/>
    <w:qFormat/>
    <w:uiPriority w:val="0"/>
    <w:rPr>
      <w:sz w:val="18"/>
      <w:szCs w:val="18"/>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spacing w:line="360" w:lineRule="auto"/>
      <w:ind w:firstLine="480" w:firstLineChars="200"/>
      <w:jc w:val="left"/>
    </w:pPr>
    <w:rPr>
      <w:rFonts w:ascii="宋体" w:hAnsi="宋体"/>
      <w:sz w:val="24"/>
      <w:szCs w:val="22"/>
    </w:rPr>
  </w:style>
  <w:style w:type="paragraph" w:styleId="11">
    <w:name w:val="Body Text"/>
    <w:next w:val="1"/>
    <w:qFormat/>
    <w:uiPriority w:val="0"/>
    <w:pPr>
      <w:widowControl w:val="0"/>
      <w:spacing w:before="100" w:beforeLines="0" w:beforeAutospacing="1" w:after="100" w:afterLines="0" w:afterAutospacing="1"/>
      <w:jc w:val="left"/>
    </w:pPr>
    <w:rPr>
      <w:rFonts w:hint="eastAsia" w:ascii="宋体" w:hAnsi="宋体" w:eastAsia="宋体" w:cs="宋体"/>
      <w:kern w:val="0"/>
      <w:sz w:val="24"/>
      <w:szCs w:val="24"/>
      <w:lang w:val="en-US" w:eastAsia="zh-CN" w:bidi="ar-SA"/>
    </w:rPr>
  </w:style>
  <w:style w:type="paragraph" w:styleId="12">
    <w:name w:val="toc 5"/>
    <w:basedOn w:val="1"/>
    <w:next w:val="1"/>
    <w:qFormat/>
    <w:uiPriority w:val="0"/>
    <w:pPr>
      <w:ind w:left="840"/>
      <w:jc w:val="left"/>
    </w:pPr>
    <w:rPr>
      <w:sz w:val="20"/>
      <w:szCs w:val="20"/>
    </w:rPr>
  </w:style>
  <w:style w:type="paragraph" w:styleId="13">
    <w:name w:val="toc 3"/>
    <w:basedOn w:val="1"/>
    <w:next w:val="1"/>
    <w:qFormat/>
    <w:uiPriority w:val="0"/>
    <w:pPr>
      <w:adjustRightInd w:val="0"/>
      <w:snapToGrid w:val="0"/>
      <w:spacing w:line="360" w:lineRule="auto"/>
      <w:ind w:firstLine="400" w:firstLineChars="400"/>
      <w:jc w:val="left"/>
    </w:pPr>
    <w:rPr>
      <w:sz w:val="24"/>
      <w:szCs w:val="20"/>
    </w:rPr>
  </w:style>
  <w:style w:type="paragraph" w:styleId="14">
    <w:name w:val="toc 8"/>
    <w:basedOn w:val="1"/>
    <w:next w:val="1"/>
    <w:qFormat/>
    <w:uiPriority w:val="0"/>
    <w:pPr>
      <w:ind w:left="1470"/>
      <w:jc w:val="left"/>
    </w:pPr>
    <w:rPr>
      <w:sz w:val="20"/>
      <w:szCs w:val="20"/>
    </w:rPr>
  </w:style>
  <w:style w:type="paragraph" w:styleId="15">
    <w:name w:val="footer"/>
    <w:basedOn w:val="1"/>
    <w:link w:val="35"/>
    <w:qFormat/>
    <w:uiPriority w:val="0"/>
    <w:pPr>
      <w:tabs>
        <w:tab w:val="center" w:pos="4153"/>
        <w:tab w:val="right" w:pos="8306"/>
      </w:tabs>
      <w:snapToGrid w:val="0"/>
      <w:jc w:val="left"/>
    </w:pPr>
    <w:rPr>
      <w:sz w:val="18"/>
      <w:szCs w:val="18"/>
    </w:rPr>
  </w:style>
  <w:style w:type="paragraph" w:styleId="16">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pPr>
    <w:rPr>
      <w:rFonts w:hint="eastAsia" w:ascii="宋体" w:hAnsi="宋体" w:eastAsia="宋体" w:cs="宋体"/>
      <w:kern w:val="0"/>
      <w:sz w:val="24"/>
      <w:szCs w:val="24"/>
      <w:lang w:val="en-US" w:eastAsia="zh-CN" w:bidi="ar"/>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4 Char"/>
    <w:basedOn w:val="24"/>
    <w:link w:val="7"/>
    <w:qFormat/>
    <w:uiPriority w:val="0"/>
    <w:rPr>
      <w:rFonts w:ascii="Cambria" w:hAnsi="Cambria"/>
      <w:b/>
      <w:bCs/>
      <w:kern w:val="2"/>
      <w:sz w:val="28"/>
      <w:szCs w:val="28"/>
    </w:rPr>
  </w:style>
  <w:style w:type="paragraph" w:styleId="28">
    <w:name w:val="No Spacing"/>
    <w:link w:val="29"/>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9">
    <w:name w:val="无间隔 Char"/>
    <w:link w:val="28"/>
    <w:qFormat/>
    <w:locked/>
    <w:uiPriority w:val="0"/>
    <w:rPr>
      <w:rFonts w:eastAsia="仿宋_GB2312"/>
      <w:sz w:val="30"/>
      <w:szCs w:val="22"/>
      <w:lang w:bidi="ar-SA"/>
    </w:rPr>
  </w:style>
  <w:style w:type="character" w:customStyle="1" w:styleId="30">
    <w:name w:val="页脚 Char"/>
    <w:basedOn w:val="24"/>
    <w:link w:val="15"/>
    <w:qFormat/>
    <w:uiPriority w:val="0"/>
    <w:rPr>
      <w:kern w:val="2"/>
      <w:sz w:val="18"/>
      <w:szCs w:val="18"/>
    </w:rPr>
  </w:style>
  <w:style w:type="paragraph" w:styleId="31">
    <w:name w:val="List Paragraph"/>
    <w:basedOn w:val="1"/>
    <w:qFormat/>
    <w:uiPriority w:val="0"/>
    <w:pPr>
      <w:ind w:firstLine="420" w:firstLineChars="200"/>
    </w:pPr>
  </w:style>
  <w:style w:type="character" w:customStyle="1" w:styleId="32">
    <w:name w:val="标题 3 Char"/>
    <w:basedOn w:val="24"/>
    <w:link w:val="6"/>
    <w:qFormat/>
    <w:uiPriority w:val="0"/>
    <w:rPr>
      <w:b/>
      <w:bCs/>
      <w:kern w:val="2"/>
      <w:sz w:val="32"/>
      <w:szCs w:val="32"/>
    </w:rPr>
  </w:style>
  <w:style w:type="paragraph" w:customStyle="1" w:styleId="33">
    <w:name w:val="MsoNormal"/>
    <w:basedOn w:val="1"/>
    <w:qFormat/>
    <w:uiPriority w:val="0"/>
  </w:style>
  <w:style w:type="character" w:customStyle="1" w:styleId="34">
    <w:name w:val="页眉 字符"/>
    <w:basedOn w:val="24"/>
    <w:link w:val="16"/>
    <w:qFormat/>
    <w:uiPriority w:val="0"/>
    <w:rPr>
      <w:rFonts w:ascii="Times New Roman" w:hAnsi="Times New Roman" w:eastAsia="宋体" w:cs="Times New Roman"/>
      <w:sz w:val="18"/>
      <w:szCs w:val="18"/>
    </w:rPr>
  </w:style>
  <w:style w:type="character" w:customStyle="1" w:styleId="35">
    <w:name w:val="页脚 字符"/>
    <w:basedOn w:val="24"/>
    <w:link w:val="15"/>
    <w:qFormat/>
    <w:uiPriority w:val="0"/>
    <w:rPr>
      <w:rFonts w:ascii="宋体" w:hAnsi="宋体" w:eastAsia="宋体" w:cs="Times New Roman"/>
      <w:kern w:val="2"/>
      <w:sz w:val="18"/>
      <w:szCs w:val="18"/>
    </w:rPr>
  </w:style>
  <w:style w:type="character" w:customStyle="1" w:styleId="36">
    <w:name w:val="标题 1 Char"/>
    <w:link w:val="4"/>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12822</Words>
  <Characters>13895</Characters>
  <Lines>16</Lines>
  <Paragraphs>4</Paragraphs>
  <TotalTime>5</TotalTime>
  <ScaleCrop>false</ScaleCrop>
  <LinksUpToDate>false</LinksUpToDate>
  <CharactersWithSpaces>14473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2021-01-21T07:13:00Z</dcterms:created>
  <dc:creator>Administrator</dc:creator>
  <cp:lastModifiedBy>WPS_1680657361</cp:lastModifiedBy>
  <cp:lastPrinted>2025-11-17T03:31:00Z</cp:lastPrinted>
  <dcterms:modified xsi:type="dcterms:W3CDTF">2025-11-18T02:50:11Z</dcterms:modified>
  <dc:title>××年度××部门/单位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2052-12.1.0.23542</vt:lpwstr>
  </property>
  <property fmtid="{D5CDD505-2E9C-101B-9397-08002B2CF9AE}" pid="4" name="KSOTemplateDocerSaveRecord">
    <vt:lpwstr>eyJoZGlkIjoiMGEyNGQ3MDgwMTlkZjdhMzNhOGRlNjE4ZDU2YmY4MDciLCJ1c2VySWQiOiIxNDg1ODc2NTI0In0=</vt:lpwstr>
  </property>
</Properties>
</file>